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6B95" w14:textId="53EB5CD6" w:rsidR="00700E96" w:rsidRPr="008D3FD2" w:rsidRDefault="00BF3CF4">
      <w:pPr>
        <w:rPr>
          <w:sz w:val="28"/>
          <w:szCs w:val="28"/>
        </w:rPr>
      </w:pPr>
      <w:bookmarkStart w:id="0" w:name="_Hlk190684398"/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75559E8" wp14:editId="6691E1FC">
            <wp:simplePos x="0" y="0"/>
            <wp:positionH relativeFrom="page">
              <wp:posOffset>4847590</wp:posOffset>
            </wp:positionH>
            <wp:positionV relativeFrom="paragraph">
              <wp:posOffset>328930</wp:posOffset>
            </wp:positionV>
            <wp:extent cx="2712720" cy="7648575"/>
            <wp:effectExtent l="0" t="0" r="0" b="9525"/>
            <wp:wrapTight wrapText="bothSides">
              <wp:wrapPolygon edited="0">
                <wp:start x="0" y="0"/>
                <wp:lineTo x="0" y="21573"/>
                <wp:lineTo x="21388" y="21573"/>
                <wp:lineTo x="21388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720" cy="7648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3685"/>
      </w:tblGrid>
      <w:tr w:rsidR="00700E96" w:rsidRPr="006B77B4" w14:paraId="05721BCE" w14:textId="77777777" w:rsidTr="00027191">
        <w:trPr>
          <w:trHeight w:val="416"/>
        </w:trPr>
        <w:tc>
          <w:tcPr>
            <w:tcW w:w="2122" w:type="dxa"/>
          </w:tcPr>
          <w:p w14:paraId="6FF6F9A2" w14:textId="77777777" w:rsidR="00700E96" w:rsidRPr="003064F3" w:rsidRDefault="00700E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6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Région</w:t>
            </w:r>
          </w:p>
        </w:tc>
        <w:tc>
          <w:tcPr>
            <w:tcW w:w="3685" w:type="dxa"/>
          </w:tcPr>
          <w:p w14:paraId="70D3B921" w14:textId="77777777" w:rsidR="00700E96" w:rsidRPr="0093125D" w:rsidRDefault="00700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125D">
              <w:rPr>
                <w:rFonts w:ascii="Times New Roman" w:hAnsi="Times New Roman" w:cs="Times New Roman"/>
                <w:sz w:val="20"/>
                <w:szCs w:val="20"/>
              </w:rPr>
              <w:t>Centre Loire</w:t>
            </w:r>
          </w:p>
        </w:tc>
      </w:tr>
      <w:tr w:rsidR="00700E96" w:rsidRPr="006B77B4" w14:paraId="326012A1" w14:textId="77777777" w:rsidTr="00027191">
        <w:trPr>
          <w:trHeight w:val="444"/>
        </w:trPr>
        <w:tc>
          <w:tcPr>
            <w:tcW w:w="2122" w:type="dxa"/>
          </w:tcPr>
          <w:p w14:paraId="05A16835" w14:textId="77777777" w:rsidR="00700E96" w:rsidRPr="003064F3" w:rsidRDefault="00700E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6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Appellation</w:t>
            </w:r>
          </w:p>
        </w:tc>
        <w:tc>
          <w:tcPr>
            <w:tcW w:w="3685" w:type="dxa"/>
          </w:tcPr>
          <w:p w14:paraId="1C277FD7" w14:textId="73C550E3" w:rsidR="00700E96" w:rsidRPr="0093125D" w:rsidRDefault="00700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125D">
              <w:rPr>
                <w:rFonts w:ascii="Times New Roman" w:hAnsi="Times New Roman" w:cs="Times New Roman"/>
                <w:sz w:val="20"/>
                <w:szCs w:val="20"/>
              </w:rPr>
              <w:t>Vin de Pays des C</w:t>
            </w:r>
            <w:r w:rsidR="00F52F15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93125D">
              <w:rPr>
                <w:rFonts w:ascii="Times New Roman" w:hAnsi="Times New Roman" w:cs="Times New Roman"/>
                <w:sz w:val="20"/>
                <w:szCs w:val="20"/>
              </w:rPr>
              <w:t>teau</w:t>
            </w:r>
            <w:r w:rsidR="00F52F15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93125D">
              <w:rPr>
                <w:rFonts w:ascii="Times New Roman" w:hAnsi="Times New Roman" w:cs="Times New Roman"/>
                <w:sz w:val="20"/>
                <w:szCs w:val="20"/>
              </w:rPr>
              <w:t xml:space="preserve"> du Cher et de l’Arnon</w:t>
            </w:r>
          </w:p>
        </w:tc>
      </w:tr>
      <w:tr w:rsidR="00700E96" w:rsidRPr="006B77B4" w14:paraId="1059D777" w14:textId="77777777" w:rsidTr="00027191">
        <w:trPr>
          <w:trHeight w:val="416"/>
        </w:trPr>
        <w:tc>
          <w:tcPr>
            <w:tcW w:w="2122" w:type="dxa"/>
          </w:tcPr>
          <w:p w14:paraId="2AB774D2" w14:textId="77777777" w:rsidR="00700E96" w:rsidRPr="003064F3" w:rsidRDefault="00700E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6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Cuvée</w:t>
            </w:r>
          </w:p>
        </w:tc>
        <w:tc>
          <w:tcPr>
            <w:tcW w:w="3685" w:type="dxa"/>
          </w:tcPr>
          <w:p w14:paraId="5B0956F5" w14:textId="77777777" w:rsidR="00700E96" w:rsidRPr="0093125D" w:rsidRDefault="00700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125D">
              <w:rPr>
                <w:rFonts w:ascii="Times New Roman" w:hAnsi="Times New Roman" w:cs="Times New Roman"/>
                <w:sz w:val="20"/>
                <w:szCs w:val="20"/>
              </w:rPr>
              <w:t>Début d’Abus</w:t>
            </w:r>
          </w:p>
        </w:tc>
      </w:tr>
      <w:tr w:rsidR="00700E96" w:rsidRPr="006B77B4" w14:paraId="68D70D23" w14:textId="77777777" w:rsidTr="00027191">
        <w:trPr>
          <w:trHeight w:val="416"/>
        </w:trPr>
        <w:tc>
          <w:tcPr>
            <w:tcW w:w="2122" w:type="dxa"/>
          </w:tcPr>
          <w:p w14:paraId="61AB9744" w14:textId="77777777" w:rsidR="00700E96" w:rsidRPr="003064F3" w:rsidRDefault="00700E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6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Couleur</w:t>
            </w:r>
          </w:p>
        </w:tc>
        <w:tc>
          <w:tcPr>
            <w:tcW w:w="3685" w:type="dxa"/>
          </w:tcPr>
          <w:p w14:paraId="0ED6FDE6" w14:textId="77777777" w:rsidR="00700E96" w:rsidRPr="0093125D" w:rsidRDefault="00700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125D">
              <w:rPr>
                <w:rFonts w:ascii="Times New Roman" w:hAnsi="Times New Roman" w:cs="Times New Roman"/>
                <w:sz w:val="20"/>
                <w:szCs w:val="20"/>
              </w:rPr>
              <w:t>Blanc</w:t>
            </w:r>
          </w:p>
        </w:tc>
      </w:tr>
      <w:tr w:rsidR="00700E96" w:rsidRPr="006B77B4" w14:paraId="1D320D1B" w14:textId="77777777" w:rsidTr="00027191">
        <w:trPr>
          <w:trHeight w:val="444"/>
        </w:trPr>
        <w:tc>
          <w:tcPr>
            <w:tcW w:w="2122" w:type="dxa"/>
          </w:tcPr>
          <w:p w14:paraId="1D1FD47B" w14:textId="77777777" w:rsidR="00700E96" w:rsidRPr="003064F3" w:rsidRDefault="00700E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6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Millésime</w:t>
            </w:r>
          </w:p>
        </w:tc>
        <w:tc>
          <w:tcPr>
            <w:tcW w:w="3685" w:type="dxa"/>
          </w:tcPr>
          <w:p w14:paraId="69272136" w14:textId="2C42F86E" w:rsidR="00700E96" w:rsidRPr="0093125D" w:rsidRDefault="00700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125D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5349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00E96" w:rsidRPr="006B77B4" w14:paraId="35CD6ED1" w14:textId="77777777" w:rsidTr="00027191">
        <w:trPr>
          <w:trHeight w:val="416"/>
        </w:trPr>
        <w:tc>
          <w:tcPr>
            <w:tcW w:w="2122" w:type="dxa"/>
          </w:tcPr>
          <w:p w14:paraId="242D7B49" w14:textId="77777777" w:rsidR="00700E96" w:rsidRPr="003064F3" w:rsidRDefault="00700E96" w:rsidP="00CE0833">
            <w:pPr>
              <w:ind w:right="-45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6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Cépage</w:t>
            </w:r>
          </w:p>
        </w:tc>
        <w:tc>
          <w:tcPr>
            <w:tcW w:w="3685" w:type="dxa"/>
          </w:tcPr>
          <w:p w14:paraId="7FDF5504" w14:textId="0C843C49" w:rsidR="00027191" w:rsidRPr="0093125D" w:rsidRDefault="00700E96" w:rsidP="00CE0833">
            <w:pPr>
              <w:ind w:right="-454"/>
              <w:rPr>
                <w:rFonts w:ascii="Times New Roman" w:hAnsi="Times New Roman" w:cs="Times New Roman"/>
                <w:sz w:val="20"/>
                <w:szCs w:val="20"/>
              </w:rPr>
            </w:pPr>
            <w:r w:rsidRPr="0093125D">
              <w:rPr>
                <w:rFonts w:ascii="Times New Roman" w:hAnsi="Times New Roman" w:cs="Times New Roman"/>
                <w:sz w:val="20"/>
                <w:szCs w:val="20"/>
              </w:rPr>
              <w:t>Pinot Gris</w:t>
            </w:r>
          </w:p>
        </w:tc>
      </w:tr>
      <w:tr w:rsidR="00027191" w:rsidRPr="006B77B4" w14:paraId="5A8F15D2" w14:textId="77777777" w:rsidTr="00027191">
        <w:trPr>
          <w:trHeight w:val="416"/>
        </w:trPr>
        <w:tc>
          <w:tcPr>
            <w:tcW w:w="2122" w:type="dxa"/>
          </w:tcPr>
          <w:p w14:paraId="2A27324B" w14:textId="0256FB8A" w:rsidR="00027191" w:rsidRPr="003064F3" w:rsidRDefault="000271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6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Degré alcoolique</w:t>
            </w:r>
          </w:p>
        </w:tc>
        <w:tc>
          <w:tcPr>
            <w:tcW w:w="3685" w:type="dxa"/>
          </w:tcPr>
          <w:p w14:paraId="3CC1315A" w14:textId="5741188B" w:rsidR="00027191" w:rsidRPr="0093125D" w:rsidRDefault="00027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12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91AFD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  <w:r w:rsidR="00A00E03">
              <w:rPr>
                <w:rFonts w:ascii="Times New Roman" w:hAnsi="Times New Roman" w:cs="Times New Roman"/>
                <w:sz w:val="20"/>
                <w:szCs w:val="20"/>
              </w:rPr>
              <w:t>%vol</w:t>
            </w:r>
          </w:p>
        </w:tc>
      </w:tr>
    </w:tbl>
    <w:p w14:paraId="04628836" w14:textId="77777777" w:rsidR="0093125D" w:rsidRPr="0093125D" w:rsidRDefault="0093125D" w:rsidP="008D3FD2">
      <w:pPr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039D67EE" w14:textId="55D16C29" w:rsidR="00700E96" w:rsidRPr="00AC1907" w:rsidRDefault="006B77B4" w:rsidP="008D3FD2">
      <w:pPr>
        <w:jc w:val="both"/>
        <w:rPr>
          <w:rFonts w:ascii="Times New Roman" w:hAnsi="Times New Roman" w:cs="Times New Roman"/>
        </w:rPr>
      </w:pPr>
      <w:bookmarkStart w:id="1" w:name="_Hlk131523041"/>
      <w:r w:rsidRPr="00AC1907">
        <w:rPr>
          <w:rFonts w:ascii="Times New Roman" w:hAnsi="Times New Roman" w:cs="Times New Roman"/>
          <w:b/>
          <w:bCs/>
        </w:rPr>
        <w:t>Terroir :</w:t>
      </w:r>
      <w:r w:rsidR="00D16AD1" w:rsidRPr="00AC1907">
        <w:rPr>
          <w:rFonts w:ascii="Times New Roman" w:hAnsi="Times New Roman" w:cs="Times New Roman"/>
          <w:b/>
          <w:bCs/>
        </w:rPr>
        <w:t xml:space="preserve"> </w:t>
      </w:r>
      <w:r w:rsidR="00AC1907" w:rsidRPr="00027191">
        <w:rPr>
          <w:rFonts w:ascii="Times New Roman" w:hAnsi="Times New Roman" w:cs="Times New Roman"/>
        </w:rPr>
        <w:t>Vigne</w:t>
      </w:r>
      <w:r w:rsidR="00AC1907">
        <w:rPr>
          <w:rFonts w:ascii="Times New Roman" w:hAnsi="Times New Roman" w:cs="Times New Roman"/>
        </w:rPr>
        <w:t xml:space="preserve">s complantées, âge moyen </w:t>
      </w:r>
      <w:r w:rsidR="0053497E">
        <w:rPr>
          <w:rFonts w:ascii="Times New Roman" w:hAnsi="Times New Roman" w:cs="Times New Roman"/>
        </w:rPr>
        <w:t>20</w:t>
      </w:r>
      <w:r w:rsidR="00AC1907">
        <w:rPr>
          <w:rFonts w:ascii="Times New Roman" w:hAnsi="Times New Roman" w:cs="Times New Roman"/>
        </w:rPr>
        <w:t xml:space="preserve"> ans</w:t>
      </w:r>
      <w:r w:rsidR="00AC1907" w:rsidRPr="00027191">
        <w:rPr>
          <w:rFonts w:ascii="Times New Roman" w:hAnsi="Times New Roman" w:cs="Times New Roman"/>
        </w:rPr>
        <w:t xml:space="preserve">, plantées sur </w:t>
      </w:r>
      <w:r w:rsidR="00AC1907">
        <w:rPr>
          <w:rFonts w:ascii="Times New Roman" w:hAnsi="Times New Roman" w:cs="Times New Roman"/>
        </w:rPr>
        <w:t>d</w:t>
      </w:r>
      <w:r w:rsidR="00AC1907" w:rsidRPr="00027191">
        <w:rPr>
          <w:rFonts w:ascii="Times New Roman" w:hAnsi="Times New Roman" w:cs="Times New Roman"/>
        </w:rPr>
        <w:t>es terrasses</w:t>
      </w:r>
      <w:r w:rsidR="00AC1907">
        <w:rPr>
          <w:rFonts w:ascii="Times New Roman" w:hAnsi="Times New Roman" w:cs="Times New Roman"/>
        </w:rPr>
        <w:t xml:space="preserve"> de graves et de sable.</w:t>
      </w:r>
    </w:p>
    <w:p w14:paraId="48A8CABC" w14:textId="6904C908" w:rsidR="006B77B4" w:rsidRPr="00027191" w:rsidRDefault="00F92F1D" w:rsidP="008D3FD2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027191">
        <w:rPr>
          <w:rFonts w:ascii="Times New Roman" w:hAnsi="Times New Roman" w:cs="Times New Roman"/>
          <w:b/>
          <w:bCs/>
        </w:rPr>
        <w:t>Culture :</w:t>
      </w:r>
      <w:r w:rsidR="0053497E">
        <w:rPr>
          <w:rFonts w:ascii="Times New Roman" w:hAnsi="Times New Roman" w:cs="Times New Roman"/>
        </w:rPr>
        <w:t xml:space="preserve"> </w:t>
      </w:r>
      <w:r w:rsidR="0053497E" w:rsidRPr="00027191">
        <w:rPr>
          <w:rFonts w:ascii="Times New Roman" w:hAnsi="Times New Roman" w:cs="Times New Roman"/>
        </w:rPr>
        <w:t xml:space="preserve">L’ensemble de nos vignes </w:t>
      </w:r>
      <w:r w:rsidR="0053497E">
        <w:rPr>
          <w:rFonts w:ascii="Times New Roman" w:hAnsi="Times New Roman" w:cs="Times New Roman"/>
        </w:rPr>
        <w:t>es</w:t>
      </w:r>
      <w:r w:rsidR="0053497E" w:rsidRPr="00027191">
        <w:rPr>
          <w:rFonts w:ascii="Times New Roman" w:hAnsi="Times New Roman" w:cs="Times New Roman"/>
        </w:rPr>
        <w:t>t entretenu par un travail du sol superficiel. L’apport de fertilisants organiques (AB)</w:t>
      </w:r>
      <w:r w:rsidR="0053497E">
        <w:rPr>
          <w:rFonts w:ascii="Times New Roman" w:hAnsi="Times New Roman" w:cs="Times New Roman"/>
        </w:rPr>
        <w:t xml:space="preserve"> et de fumier composté</w:t>
      </w:r>
      <w:r w:rsidR="0053497E" w:rsidRPr="00027191">
        <w:rPr>
          <w:rFonts w:ascii="Times New Roman" w:hAnsi="Times New Roman" w:cs="Times New Roman"/>
        </w:rPr>
        <w:t xml:space="preserve"> permet de stimuler et de nourrir nos sols. Nous privilég</w:t>
      </w:r>
      <w:r w:rsidR="0053497E">
        <w:rPr>
          <w:rFonts w:ascii="Times New Roman" w:hAnsi="Times New Roman" w:cs="Times New Roman"/>
        </w:rPr>
        <w:t>i</w:t>
      </w:r>
      <w:r w:rsidR="0053497E" w:rsidRPr="00027191">
        <w:rPr>
          <w:rFonts w:ascii="Times New Roman" w:hAnsi="Times New Roman" w:cs="Times New Roman"/>
        </w:rPr>
        <w:t>ons les bouillies à base de cuivre et soufre pour maîtriser les maladies de la vigne.</w:t>
      </w:r>
      <w:r w:rsidR="0053497E">
        <w:rPr>
          <w:rFonts w:ascii="Times New Roman" w:hAnsi="Times New Roman" w:cs="Times New Roman"/>
        </w:rPr>
        <w:t xml:space="preserve"> Notre vignoble est en cours de conversion vers l’agriculture biologique</w:t>
      </w:r>
      <w:r w:rsidR="0053497E" w:rsidRPr="00027191">
        <w:rPr>
          <w:rFonts w:ascii="Times New Roman" w:hAnsi="Times New Roman" w:cs="Times New Roman"/>
        </w:rPr>
        <w:t>.</w:t>
      </w:r>
      <w:r w:rsidR="0053497E">
        <w:rPr>
          <w:rFonts w:ascii="Times New Roman" w:hAnsi="Times New Roman" w:cs="Times New Roman"/>
        </w:rPr>
        <w:t xml:space="preserve"> Plusieurs préparations biodynamiques telles que la 500, la 501 et les tisanes de plantes sont appliquées selon le stade végétatif du végétal et de la saison.</w:t>
      </w:r>
    </w:p>
    <w:p w14:paraId="3317867A" w14:textId="269D3E89" w:rsidR="00706FE4" w:rsidRPr="00AC1907" w:rsidRDefault="00AC1907" w:rsidP="00706FE4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AC1907">
        <w:rPr>
          <w:rFonts w:ascii="Times New Roman" w:hAnsi="Times New Roman" w:cs="Times New Roman"/>
          <w:b/>
          <w:bCs/>
        </w:rPr>
        <w:t>Récolte</w:t>
      </w:r>
      <w:r w:rsidR="00706FE4" w:rsidRPr="00AC1907">
        <w:rPr>
          <w:rFonts w:ascii="Times New Roman" w:hAnsi="Times New Roman" w:cs="Times New Roman"/>
          <w:b/>
          <w:bCs/>
        </w:rPr>
        <w:t xml:space="preserve"> : </w:t>
      </w:r>
      <w:r w:rsidRPr="00027191">
        <w:rPr>
          <w:rFonts w:ascii="Times New Roman" w:hAnsi="Times New Roman" w:cs="Times New Roman"/>
        </w:rPr>
        <w:t>Vendange manuelle</w:t>
      </w:r>
      <w:r w:rsidR="0053497E">
        <w:rPr>
          <w:rFonts w:ascii="Times New Roman" w:hAnsi="Times New Roman" w:cs="Times New Roman"/>
        </w:rPr>
        <w:t xml:space="preserve"> (juste à maturité du fruit)</w:t>
      </w:r>
      <w:r>
        <w:rPr>
          <w:rFonts w:ascii="Times New Roman" w:hAnsi="Times New Roman" w:cs="Times New Roman"/>
        </w:rPr>
        <w:t xml:space="preserve"> et tri au remplissage du pressoir</w:t>
      </w:r>
      <w:r w:rsidR="00706FE4" w:rsidRPr="00AC1907">
        <w:rPr>
          <w:rFonts w:ascii="Times New Roman" w:hAnsi="Times New Roman" w:cs="Times New Roman"/>
        </w:rPr>
        <w:t>.</w:t>
      </w:r>
    </w:p>
    <w:p w14:paraId="705D6EAF" w14:textId="3A874DB1" w:rsidR="00D16AD1" w:rsidRPr="00027191" w:rsidRDefault="00D16AD1" w:rsidP="008D3FD2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027191">
        <w:rPr>
          <w:rFonts w:ascii="Times New Roman" w:hAnsi="Times New Roman" w:cs="Times New Roman"/>
          <w:b/>
          <w:bCs/>
        </w:rPr>
        <w:t xml:space="preserve">Vinifications et élevage : </w:t>
      </w:r>
      <w:r w:rsidRPr="00027191">
        <w:rPr>
          <w:rFonts w:ascii="Times New Roman" w:hAnsi="Times New Roman" w:cs="Times New Roman"/>
        </w:rPr>
        <w:t>Aucun sulfitage n’intervient à la réception de la récolte. Fermentation</w:t>
      </w:r>
      <w:r w:rsidR="005263ED" w:rsidRPr="00027191">
        <w:rPr>
          <w:rFonts w:ascii="Times New Roman" w:hAnsi="Times New Roman" w:cs="Times New Roman"/>
        </w:rPr>
        <w:t xml:space="preserve"> alcoolique</w:t>
      </w:r>
      <w:r w:rsidRPr="00027191">
        <w:rPr>
          <w:rFonts w:ascii="Times New Roman" w:hAnsi="Times New Roman" w:cs="Times New Roman"/>
        </w:rPr>
        <w:t xml:space="preserve"> de 12 jours par</w:t>
      </w:r>
      <w:r w:rsidR="0053497E">
        <w:rPr>
          <w:rFonts w:ascii="Times New Roman" w:hAnsi="Times New Roman" w:cs="Times New Roman"/>
        </w:rPr>
        <w:t xml:space="preserve"> les levures indigènes</w:t>
      </w:r>
      <w:r w:rsidRPr="00027191">
        <w:rPr>
          <w:rFonts w:ascii="Times New Roman" w:hAnsi="Times New Roman" w:cs="Times New Roman"/>
        </w:rPr>
        <w:t xml:space="preserve"> à 18/20°C. Elevage</w:t>
      </w:r>
      <w:r w:rsidR="005263ED" w:rsidRPr="00027191">
        <w:rPr>
          <w:rFonts w:ascii="Times New Roman" w:hAnsi="Times New Roman" w:cs="Times New Roman"/>
        </w:rPr>
        <w:t xml:space="preserve"> de </w:t>
      </w:r>
      <w:r w:rsidR="0053497E">
        <w:rPr>
          <w:rFonts w:ascii="Times New Roman" w:hAnsi="Times New Roman" w:cs="Times New Roman"/>
        </w:rPr>
        <w:t>10</w:t>
      </w:r>
      <w:r w:rsidR="005263ED" w:rsidRPr="00027191">
        <w:rPr>
          <w:rFonts w:ascii="Times New Roman" w:hAnsi="Times New Roman" w:cs="Times New Roman"/>
        </w:rPr>
        <w:t xml:space="preserve"> mois</w:t>
      </w:r>
      <w:r w:rsidRPr="00027191">
        <w:rPr>
          <w:rFonts w:ascii="Times New Roman" w:hAnsi="Times New Roman" w:cs="Times New Roman"/>
        </w:rPr>
        <w:t xml:space="preserve"> sur lies fines</w:t>
      </w:r>
      <w:r w:rsidR="005263ED" w:rsidRPr="00027191">
        <w:rPr>
          <w:rFonts w:ascii="Times New Roman" w:hAnsi="Times New Roman" w:cs="Times New Roman"/>
        </w:rPr>
        <w:t xml:space="preserve">. Sulfitage raisonné après fermentation alcoolique et correction avant la mise en bouteille. Aucune </w:t>
      </w:r>
      <w:r w:rsidR="008D3FD2" w:rsidRPr="00027191">
        <w:rPr>
          <w:rFonts w:ascii="Times New Roman" w:hAnsi="Times New Roman" w:cs="Times New Roman"/>
        </w:rPr>
        <w:t>pratique consistant à modifier les caractéristiques du millésime (acidification) n’est effectuée sur le domaine. Nous respectons les fruits de nos vignes et du millésime.</w:t>
      </w:r>
    </w:p>
    <w:p w14:paraId="4B6C2D27" w14:textId="5AAB871F" w:rsidR="00F92F1D" w:rsidRPr="00027191" w:rsidRDefault="008D3FD2" w:rsidP="008D3FD2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027191">
        <w:rPr>
          <w:rFonts w:ascii="Times New Roman" w:hAnsi="Times New Roman" w:cs="Times New Roman"/>
          <w:b/>
          <w:bCs/>
        </w:rPr>
        <w:t>Bouchage</w:t>
      </w:r>
      <w:r w:rsidRPr="00027191">
        <w:rPr>
          <w:rFonts w:ascii="Times New Roman" w:hAnsi="Times New Roman" w:cs="Times New Roman"/>
        </w:rPr>
        <w:t> : TRESCASE aggloméré (49mm)</w:t>
      </w:r>
      <w:r w:rsidR="000522B0" w:rsidRPr="00027191">
        <w:rPr>
          <w:rFonts w:ascii="Times New Roman" w:hAnsi="Times New Roman" w:cs="Times New Roman"/>
        </w:rPr>
        <w:t>, bouchons naturels sans TCA ayant une neutralité sensorielle.</w:t>
      </w:r>
    </w:p>
    <w:p w14:paraId="7664E41F" w14:textId="77777777" w:rsidR="0053497E" w:rsidRDefault="008D3FD2" w:rsidP="0053497E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027191">
        <w:rPr>
          <w:rFonts w:ascii="Times New Roman" w:hAnsi="Times New Roman" w:cs="Times New Roman"/>
          <w:b/>
          <w:bCs/>
        </w:rPr>
        <w:t>Millésime</w:t>
      </w:r>
      <w:r w:rsidR="000C4AA5">
        <w:rPr>
          <w:rFonts w:ascii="Times New Roman" w:hAnsi="Times New Roman" w:cs="Times New Roman"/>
        </w:rPr>
        <w:t> :</w:t>
      </w:r>
      <w:r w:rsidR="000C4AA5" w:rsidRPr="000C4AA5">
        <w:rPr>
          <w:rFonts w:ascii="Times New Roman" w:hAnsi="Times New Roman" w:cs="Times New Roman"/>
        </w:rPr>
        <w:t xml:space="preserve"> </w:t>
      </w:r>
      <w:r w:rsidR="0053497E" w:rsidRPr="00027191">
        <w:rPr>
          <w:rFonts w:ascii="Times New Roman" w:hAnsi="Times New Roman" w:cs="Times New Roman"/>
        </w:rPr>
        <w:t xml:space="preserve">: </w:t>
      </w:r>
      <w:r w:rsidR="0053497E">
        <w:rPr>
          <w:rFonts w:ascii="Times New Roman" w:hAnsi="Times New Roman" w:cs="Times New Roman"/>
        </w:rPr>
        <w:t>Le millésime 2024 restera dans la mémoire du vigneron comme l’un des plus complexe en termes de pluviométrie et d’écoute de la nature…</w:t>
      </w:r>
    </w:p>
    <w:p w14:paraId="5DEF5DB0" w14:textId="6541576E" w:rsidR="000C4AA5" w:rsidRPr="00DF6836" w:rsidRDefault="0053497E" w:rsidP="0053497E">
      <w:pPr>
        <w:tabs>
          <w:tab w:val="left" w:pos="1080"/>
        </w:tabs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</w:rPr>
        <w:t>La campagne viticole n’aura pas été de tout repos… l’excès d’humidité aura fait la part belle au Mildiou ! Plusieurs passages de préparation à base de cuivre ainsi que des effeuillages répétitifs auront permis de sauver la moitié de la récolte !</w:t>
      </w:r>
      <w:r w:rsidR="00DF6836">
        <w:rPr>
          <w:rFonts w:ascii="Times New Roman" w:hAnsi="Times New Roman" w:cs="Times New Roman"/>
        </w:rPr>
        <w:t xml:space="preserve">    </w:t>
      </w:r>
      <w:r w:rsidRPr="00DF6836">
        <w:rPr>
          <w:rFonts w:ascii="Times New Roman" w:hAnsi="Times New Roman" w:cs="Times New Roman"/>
          <w:b/>
          <w:bCs/>
          <w:i/>
          <w:iCs/>
        </w:rPr>
        <w:t>2024 fut une leçon d’humilité pour le vigneron.</w:t>
      </w:r>
    </w:p>
    <w:p w14:paraId="5EBDFB3A" w14:textId="7A1DD186" w:rsidR="00237729" w:rsidRPr="00027191" w:rsidRDefault="008D3FD2" w:rsidP="008D3FD2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027191">
        <w:rPr>
          <w:rFonts w:ascii="Times New Roman" w:hAnsi="Times New Roman" w:cs="Times New Roman"/>
          <w:b/>
          <w:bCs/>
        </w:rPr>
        <w:t>Dégustation</w:t>
      </w:r>
      <w:r w:rsidRPr="00027191">
        <w:rPr>
          <w:rFonts w:ascii="Times New Roman" w:hAnsi="Times New Roman" w:cs="Times New Roman"/>
        </w:rPr>
        <w:t> :</w:t>
      </w:r>
      <w:r w:rsidR="00237729" w:rsidRPr="00027191">
        <w:rPr>
          <w:rFonts w:ascii="Times New Roman" w:hAnsi="Times New Roman" w:cs="Times New Roman"/>
        </w:rPr>
        <w:t xml:space="preserve"> Le nez s’exprime par des note</w:t>
      </w:r>
      <w:r w:rsidR="00DF6836">
        <w:rPr>
          <w:rFonts w:ascii="Times New Roman" w:hAnsi="Times New Roman" w:cs="Times New Roman"/>
        </w:rPr>
        <w:t>s florales et de citrons confits mêlées à des petites touches miellées.</w:t>
      </w:r>
      <w:r w:rsidR="00027191" w:rsidRPr="00027191">
        <w:rPr>
          <w:rFonts w:ascii="Times New Roman" w:hAnsi="Times New Roman" w:cs="Times New Roman"/>
        </w:rPr>
        <w:t xml:space="preserve"> </w:t>
      </w:r>
      <w:r w:rsidR="00237729" w:rsidRPr="00027191">
        <w:rPr>
          <w:rFonts w:ascii="Times New Roman" w:hAnsi="Times New Roman" w:cs="Times New Roman"/>
        </w:rPr>
        <w:t>La bouche</w:t>
      </w:r>
      <w:r w:rsidR="0061012E">
        <w:rPr>
          <w:rFonts w:ascii="Times New Roman" w:hAnsi="Times New Roman" w:cs="Times New Roman"/>
        </w:rPr>
        <w:t xml:space="preserve"> offre un profil énergique, on retrouve</w:t>
      </w:r>
      <w:r w:rsidR="007608E3" w:rsidRPr="00027191">
        <w:rPr>
          <w:rFonts w:ascii="Times New Roman" w:hAnsi="Times New Roman" w:cs="Times New Roman"/>
        </w:rPr>
        <w:t xml:space="preserve"> des saveurs citronnées</w:t>
      </w:r>
      <w:r w:rsidR="00DF6836">
        <w:rPr>
          <w:rFonts w:ascii="Times New Roman" w:hAnsi="Times New Roman" w:cs="Times New Roman"/>
        </w:rPr>
        <w:t xml:space="preserve"> et épicées</w:t>
      </w:r>
      <w:r w:rsidR="0061012E">
        <w:rPr>
          <w:rFonts w:ascii="Times New Roman" w:hAnsi="Times New Roman" w:cs="Times New Roman"/>
        </w:rPr>
        <w:t xml:space="preserve">, c’est un vin croquant et </w:t>
      </w:r>
      <w:r w:rsidR="00DF6836">
        <w:rPr>
          <w:rFonts w:ascii="Times New Roman" w:hAnsi="Times New Roman" w:cs="Times New Roman"/>
        </w:rPr>
        <w:t xml:space="preserve">la final est </w:t>
      </w:r>
      <w:r w:rsidR="0061012E">
        <w:rPr>
          <w:rFonts w:ascii="Times New Roman" w:hAnsi="Times New Roman" w:cs="Times New Roman"/>
        </w:rPr>
        <w:t>salin</w:t>
      </w:r>
      <w:r w:rsidR="00DF6836">
        <w:rPr>
          <w:rFonts w:ascii="Times New Roman" w:hAnsi="Times New Roman" w:cs="Times New Roman"/>
        </w:rPr>
        <w:t>e</w:t>
      </w:r>
      <w:r w:rsidR="0061012E">
        <w:rPr>
          <w:rFonts w:ascii="Times New Roman" w:hAnsi="Times New Roman" w:cs="Times New Roman"/>
        </w:rPr>
        <w:t>.</w:t>
      </w:r>
    </w:p>
    <w:p w14:paraId="4CC6E2FE" w14:textId="5F78E832" w:rsidR="007608E3" w:rsidRPr="00027191" w:rsidRDefault="007608E3" w:rsidP="008D3FD2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027191">
        <w:rPr>
          <w:rFonts w:ascii="Times New Roman" w:hAnsi="Times New Roman" w:cs="Times New Roman"/>
          <w:b/>
          <w:bCs/>
        </w:rPr>
        <w:t xml:space="preserve">Accord mets et vins : </w:t>
      </w:r>
      <w:r w:rsidRPr="00027191">
        <w:rPr>
          <w:rFonts w:ascii="Times New Roman" w:hAnsi="Times New Roman" w:cs="Times New Roman"/>
        </w:rPr>
        <w:t>Crustacés, tartare de poisson</w:t>
      </w:r>
      <w:r w:rsidR="00493D53" w:rsidRPr="00027191">
        <w:rPr>
          <w:rFonts w:ascii="Times New Roman" w:hAnsi="Times New Roman" w:cs="Times New Roman"/>
        </w:rPr>
        <w:t>, gougères</w:t>
      </w:r>
      <w:r w:rsidR="00027191" w:rsidRPr="00027191">
        <w:rPr>
          <w:rFonts w:ascii="Times New Roman" w:hAnsi="Times New Roman" w:cs="Times New Roman"/>
        </w:rPr>
        <w:t>, émincé de dinde à la crème curry</w:t>
      </w:r>
      <w:r w:rsidR="00DF6836">
        <w:rPr>
          <w:rFonts w:ascii="Times New Roman" w:hAnsi="Times New Roman" w:cs="Times New Roman"/>
        </w:rPr>
        <w:t>, crevette ou gambas aillées à la plancha.</w:t>
      </w:r>
    </w:p>
    <w:p w14:paraId="49531BAB" w14:textId="43A55349" w:rsidR="00027191" w:rsidRPr="00027191" w:rsidRDefault="00027191" w:rsidP="008D3FD2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027191">
        <w:rPr>
          <w:rFonts w:ascii="Times New Roman" w:hAnsi="Times New Roman" w:cs="Times New Roman"/>
          <w:b/>
          <w:bCs/>
        </w:rPr>
        <w:t>Garde</w:t>
      </w:r>
      <w:r w:rsidRPr="00027191">
        <w:rPr>
          <w:rFonts w:ascii="Times New Roman" w:hAnsi="Times New Roman" w:cs="Times New Roman"/>
        </w:rPr>
        <w:t> : 2 à 3 années avec un apogée à 1 an</w:t>
      </w:r>
      <w:bookmarkEnd w:id="1"/>
      <w:r w:rsidR="00896E22">
        <w:rPr>
          <w:rFonts w:ascii="Times New Roman" w:hAnsi="Times New Roman" w:cs="Times New Roman"/>
        </w:rPr>
        <w:t>.</w:t>
      </w:r>
      <w:bookmarkEnd w:id="0"/>
    </w:p>
    <w:sectPr w:rsidR="00027191" w:rsidRPr="00027191" w:rsidSect="001823D5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BF91D" w14:textId="77777777" w:rsidR="00FD48F9" w:rsidRDefault="00FD48F9" w:rsidP="00027191">
      <w:pPr>
        <w:spacing w:after="0" w:line="240" w:lineRule="auto"/>
      </w:pPr>
      <w:r>
        <w:separator/>
      </w:r>
    </w:p>
  </w:endnote>
  <w:endnote w:type="continuationSeparator" w:id="0">
    <w:p w14:paraId="5F0F6119" w14:textId="77777777" w:rsidR="00FD48F9" w:rsidRDefault="00FD48F9" w:rsidP="0002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8C739" w14:textId="77777777" w:rsidR="00FD48F9" w:rsidRDefault="00FD48F9" w:rsidP="00027191">
      <w:pPr>
        <w:spacing w:after="0" w:line="240" w:lineRule="auto"/>
      </w:pPr>
      <w:r>
        <w:separator/>
      </w:r>
    </w:p>
  </w:footnote>
  <w:footnote w:type="continuationSeparator" w:id="0">
    <w:p w14:paraId="67F869E0" w14:textId="77777777" w:rsidR="00FD48F9" w:rsidRDefault="00FD48F9" w:rsidP="00027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F2FE7" w14:textId="38E9FB41" w:rsidR="00027191" w:rsidRPr="0093125D" w:rsidRDefault="00027191" w:rsidP="00027191">
    <w:pPr>
      <w:jc w:val="center"/>
      <w:rPr>
        <w:rFonts w:ascii="Times New Roman" w:hAnsi="Times New Roman" w:cs="Times New Roman"/>
        <w:sz w:val="36"/>
        <w:szCs w:val="36"/>
      </w:rPr>
    </w:pPr>
    <w:r w:rsidRPr="0093125D">
      <w:rPr>
        <w:rFonts w:ascii="Times New Roman" w:hAnsi="Times New Roman" w:cs="Times New Roman"/>
        <w:sz w:val="36"/>
        <w:szCs w:val="36"/>
      </w:rPr>
      <w:t>Domaine Gaël FELIX</w:t>
    </w:r>
  </w:p>
  <w:p w14:paraId="3A59C535" w14:textId="4D6F1195" w:rsidR="00027191" w:rsidRPr="0093125D" w:rsidRDefault="00027191" w:rsidP="0093125D">
    <w:pPr>
      <w:jc w:val="center"/>
      <w:rPr>
        <w:rFonts w:ascii="Times New Roman" w:hAnsi="Times New Roman" w:cs="Times New Roman"/>
        <w:sz w:val="20"/>
        <w:szCs w:val="20"/>
      </w:rPr>
    </w:pPr>
    <w:r w:rsidRPr="0093125D">
      <w:rPr>
        <w:rFonts w:ascii="Times New Roman" w:hAnsi="Times New Roman" w:cs="Times New Roman"/>
        <w:sz w:val="28"/>
        <w:szCs w:val="28"/>
      </w:rPr>
      <w:t>Début d’Abus – 202</w:t>
    </w:r>
    <w:r w:rsidR="0053497E">
      <w:rPr>
        <w:rFonts w:ascii="Times New Roman" w:hAnsi="Times New Roman" w:cs="Times New Roman"/>
        <w:sz w:val="28"/>
        <w:szCs w:val="28"/>
      </w:rPr>
      <w:t>4</w:t>
    </w:r>
    <w:r w:rsidRPr="0093125D">
      <w:rPr>
        <w:rFonts w:ascii="Times New Roman" w:hAnsi="Times New Roman" w:cs="Times New Roman"/>
        <w:sz w:val="28"/>
        <w:szCs w:val="28"/>
      </w:rPr>
      <w:t xml:space="preserve"> - Vin de Pays des C</w:t>
    </w:r>
    <w:r w:rsidR="00706FE4">
      <w:rPr>
        <w:rFonts w:ascii="Times New Roman" w:hAnsi="Times New Roman" w:cs="Times New Roman"/>
        <w:sz w:val="28"/>
        <w:szCs w:val="28"/>
      </w:rPr>
      <w:t>o</w:t>
    </w:r>
    <w:r w:rsidRPr="0093125D">
      <w:rPr>
        <w:rFonts w:ascii="Times New Roman" w:hAnsi="Times New Roman" w:cs="Times New Roman"/>
        <w:sz w:val="28"/>
        <w:szCs w:val="28"/>
      </w:rPr>
      <w:t>teaux du Cher et de l’Arnon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E96"/>
    <w:rsid w:val="00027191"/>
    <w:rsid w:val="000321A6"/>
    <w:rsid w:val="000522B0"/>
    <w:rsid w:val="0007139D"/>
    <w:rsid w:val="000A20D9"/>
    <w:rsid w:val="000C4AA5"/>
    <w:rsid w:val="000D0D50"/>
    <w:rsid w:val="001072A4"/>
    <w:rsid w:val="00166191"/>
    <w:rsid w:val="001823D5"/>
    <w:rsid w:val="00186C96"/>
    <w:rsid w:val="00237729"/>
    <w:rsid w:val="00264E26"/>
    <w:rsid w:val="002C75EC"/>
    <w:rsid w:val="002E6CE0"/>
    <w:rsid w:val="003064F3"/>
    <w:rsid w:val="003D5392"/>
    <w:rsid w:val="003F01A7"/>
    <w:rsid w:val="00493D53"/>
    <w:rsid w:val="004970E5"/>
    <w:rsid w:val="005263ED"/>
    <w:rsid w:val="005323EE"/>
    <w:rsid w:val="0053497E"/>
    <w:rsid w:val="0061012E"/>
    <w:rsid w:val="006B77B4"/>
    <w:rsid w:val="00700E96"/>
    <w:rsid w:val="00702F83"/>
    <w:rsid w:val="00706FE4"/>
    <w:rsid w:val="007354AA"/>
    <w:rsid w:val="00746125"/>
    <w:rsid w:val="007608E3"/>
    <w:rsid w:val="0077020D"/>
    <w:rsid w:val="00785E2D"/>
    <w:rsid w:val="007A5B0C"/>
    <w:rsid w:val="007F5745"/>
    <w:rsid w:val="008372E4"/>
    <w:rsid w:val="00875040"/>
    <w:rsid w:val="0087769F"/>
    <w:rsid w:val="00896E22"/>
    <w:rsid w:val="008D3FD2"/>
    <w:rsid w:val="008E3A1F"/>
    <w:rsid w:val="0093125D"/>
    <w:rsid w:val="00953AB5"/>
    <w:rsid w:val="0098591A"/>
    <w:rsid w:val="00985C27"/>
    <w:rsid w:val="00991AFD"/>
    <w:rsid w:val="009C2A3A"/>
    <w:rsid w:val="00A00E03"/>
    <w:rsid w:val="00A02D63"/>
    <w:rsid w:val="00A63D11"/>
    <w:rsid w:val="00A8084B"/>
    <w:rsid w:val="00AC1907"/>
    <w:rsid w:val="00B0184A"/>
    <w:rsid w:val="00B96F90"/>
    <w:rsid w:val="00BE1BFC"/>
    <w:rsid w:val="00BF3CF4"/>
    <w:rsid w:val="00CE0833"/>
    <w:rsid w:val="00D16AD1"/>
    <w:rsid w:val="00D71DEB"/>
    <w:rsid w:val="00DF6836"/>
    <w:rsid w:val="00E26A51"/>
    <w:rsid w:val="00E35C6C"/>
    <w:rsid w:val="00EA2A6C"/>
    <w:rsid w:val="00EA4E85"/>
    <w:rsid w:val="00ED36D7"/>
    <w:rsid w:val="00F52F15"/>
    <w:rsid w:val="00F7026C"/>
    <w:rsid w:val="00F92F1D"/>
    <w:rsid w:val="00FD0B7A"/>
    <w:rsid w:val="00FD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E3D3C"/>
  <w15:chartTrackingRefBased/>
  <w15:docId w15:val="{3C5783EA-32F6-4ABB-AF66-11203EF68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00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27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7191"/>
  </w:style>
  <w:style w:type="paragraph" w:styleId="Pieddepage">
    <w:name w:val="footer"/>
    <w:basedOn w:val="Normal"/>
    <w:link w:val="PieddepageCar"/>
    <w:uiPriority w:val="99"/>
    <w:unhideWhenUsed/>
    <w:rsid w:val="00027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7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</dc:creator>
  <cp:keywords/>
  <dc:description/>
  <cp:lastModifiedBy>Julie DELORD</cp:lastModifiedBy>
  <cp:revision>2</cp:revision>
  <dcterms:created xsi:type="dcterms:W3CDTF">2025-12-03T18:01:00Z</dcterms:created>
  <dcterms:modified xsi:type="dcterms:W3CDTF">2025-12-03T18:01:00Z</dcterms:modified>
</cp:coreProperties>
</file>