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DA23" w14:textId="181872F4" w:rsidR="00EE7422" w:rsidRDefault="003974E1" w:rsidP="00EE7422">
      <w:r>
        <w:rPr>
          <w:noProof/>
        </w:rPr>
        <w:drawing>
          <wp:anchor distT="0" distB="0" distL="114300" distR="114300" simplePos="0" relativeHeight="251658240" behindDoc="1" locked="0" layoutInCell="1" allowOverlap="1" wp14:anchorId="7CFEA845" wp14:editId="327C8224">
            <wp:simplePos x="0" y="0"/>
            <wp:positionH relativeFrom="page">
              <wp:posOffset>4836160</wp:posOffset>
            </wp:positionH>
            <wp:positionV relativeFrom="paragraph">
              <wp:posOffset>243205</wp:posOffset>
            </wp:positionV>
            <wp:extent cx="2716530" cy="7644130"/>
            <wp:effectExtent l="0" t="0" r="7620" b="0"/>
            <wp:wrapTight wrapText="bothSides">
              <wp:wrapPolygon edited="0">
                <wp:start x="0" y="0"/>
                <wp:lineTo x="0" y="21532"/>
                <wp:lineTo x="21509" y="21532"/>
                <wp:lineTo x="215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EE7422" w:rsidRPr="006B77B4" w14:paraId="410C9196" w14:textId="77777777" w:rsidTr="00CE14AF">
        <w:trPr>
          <w:trHeight w:val="413"/>
        </w:trPr>
        <w:tc>
          <w:tcPr>
            <w:tcW w:w="2122" w:type="dxa"/>
          </w:tcPr>
          <w:p w14:paraId="4EDB4F3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3685" w:type="dxa"/>
          </w:tcPr>
          <w:p w14:paraId="4E7A333D" w14:textId="77777777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EE7422" w:rsidRPr="006B77B4" w14:paraId="2C6876AB" w14:textId="77777777" w:rsidTr="00CE14AF">
        <w:trPr>
          <w:trHeight w:val="441"/>
        </w:trPr>
        <w:tc>
          <w:tcPr>
            <w:tcW w:w="2122" w:type="dxa"/>
          </w:tcPr>
          <w:p w14:paraId="1A3A0CF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3685" w:type="dxa"/>
          </w:tcPr>
          <w:p w14:paraId="400F7781" w14:textId="0272F567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Quincy</w:t>
            </w:r>
          </w:p>
        </w:tc>
      </w:tr>
      <w:tr w:rsidR="00EE7422" w:rsidRPr="006B77B4" w14:paraId="10BA1F33" w14:textId="77777777" w:rsidTr="00CE14AF">
        <w:trPr>
          <w:trHeight w:val="413"/>
        </w:trPr>
        <w:tc>
          <w:tcPr>
            <w:tcW w:w="2122" w:type="dxa"/>
          </w:tcPr>
          <w:p w14:paraId="3E9D39B1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3685" w:type="dxa"/>
          </w:tcPr>
          <w:p w14:paraId="30BAFE4A" w14:textId="4B0AD329" w:rsidR="00EE7422" w:rsidRPr="0093125D" w:rsidRDefault="00E83B21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  <w:r w:rsidR="00E42B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21E2F">
              <w:rPr>
                <w:rFonts w:ascii="Times New Roman" w:hAnsi="Times New Roman" w:cs="Times New Roman"/>
                <w:sz w:val="20"/>
                <w:szCs w:val="20"/>
              </w:rPr>
              <w:t xml:space="preserve"> Confidence</w:t>
            </w:r>
          </w:p>
        </w:tc>
      </w:tr>
      <w:tr w:rsidR="00EE7422" w:rsidRPr="006B77B4" w14:paraId="5F71758B" w14:textId="77777777" w:rsidTr="00CE14AF">
        <w:trPr>
          <w:trHeight w:val="413"/>
        </w:trPr>
        <w:tc>
          <w:tcPr>
            <w:tcW w:w="2122" w:type="dxa"/>
          </w:tcPr>
          <w:p w14:paraId="4F4B917D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3685" w:type="dxa"/>
          </w:tcPr>
          <w:p w14:paraId="21193776" w14:textId="4D8F984B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Blanc</w:t>
            </w:r>
          </w:p>
        </w:tc>
      </w:tr>
      <w:tr w:rsidR="00EE7422" w:rsidRPr="006B77B4" w14:paraId="7D21FFCF" w14:textId="77777777" w:rsidTr="00CE14AF">
        <w:trPr>
          <w:trHeight w:val="441"/>
        </w:trPr>
        <w:tc>
          <w:tcPr>
            <w:tcW w:w="2122" w:type="dxa"/>
          </w:tcPr>
          <w:p w14:paraId="1EB740DF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3685" w:type="dxa"/>
          </w:tcPr>
          <w:p w14:paraId="774069A6" w14:textId="77777777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EE7422" w:rsidRPr="006B77B4" w14:paraId="71EC617D" w14:textId="77777777" w:rsidTr="00CE14AF">
        <w:trPr>
          <w:trHeight w:val="413"/>
        </w:trPr>
        <w:tc>
          <w:tcPr>
            <w:tcW w:w="2122" w:type="dxa"/>
          </w:tcPr>
          <w:p w14:paraId="1C5FA7CE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3685" w:type="dxa"/>
          </w:tcPr>
          <w:p w14:paraId="1CB54A34" w14:textId="289C7062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Sauvignon</w:t>
            </w:r>
          </w:p>
        </w:tc>
      </w:tr>
      <w:tr w:rsidR="00EE7422" w:rsidRPr="006B77B4" w14:paraId="420A2059" w14:textId="77777777" w:rsidTr="00CE14AF">
        <w:trPr>
          <w:trHeight w:val="413"/>
        </w:trPr>
        <w:tc>
          <w:tcPr>
            <w:tcW w:w="2122" w:type="dxa"/>
          </w:tcPr>
          <w:p w14:paraId="1464E5E2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3685" w:type="dxa"/>
          </w:tcPr>
          <w:p w14:paraId="7DD3D11C" w14:textId="1BA26DE1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90C3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%vol</w:t>
            </w:r>
          </w:p>
        </w:tc>
      </w:tr>
    </w:tbl>
    <w:p w14:paraId="1987D5DE" w14:textId="77777777" w:rsidR="00EE7422" w:rsidRPr="0093125D" w:rsidRDefault="00EE7422" w:rsidP="00EE742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B246FD5" w14:textId="6E570114" w:rsidR="00EE7422" w:rsidRPr="00027191" w:rsidRDefault="00EE7422" w:rsidP="00EE7422">
      <w:pPr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Terroir : </w:t>
      </w:r>
      <w:r w:rsidRPr="00027191">
        <w:rPr>
          <w:rFonts w:ascii="Times New Roman" w:hAnsi="Times New Roman" w:cs="Times New Roman"/>
        </w:rPr>
        <w:t>Vigne</w:t>
      </w:r>
      <w:r>
        <w:rPr>
          <w:rFonts w:ascii="Times New Roman" w:hAnsi="Times New Roman" w:cs="Times New Roman"/>
        </w:rPr>
        <w:t>s complantées, âge moyen 2</w:t>
      </w:r>
      <w:r w:rsidR="00921E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ans</w:t>
      </w:r>
      <w:r w:rsidRPr="00027191">
        <w:rPr>
          <w:rFonts w:ascii="Times New Roman" w:hAnsi="Times New Roman" w:cs="Times New Roman"/>
        </w:rPr>
        <w:t xml:space="preserve">, plantées sur </w:t>
      </w:r>
      <w:r w:rsidR="00921E2F">
        <w:rPr>
          <w:rFonts w:ascii="Times New Roman" w:hAnsi="Times New Roman" w:cs="Times New Roman"/>
        </w:rPr>
        <w:t>d</w:t>
      </w:r>
      <w:r w:rsidRPr="00027191">
        <w:rPr>
          <w:rFonts w:ascii="Times New Roman" w:hAnsi="Times New Roman" w:cs="Times New Roman"/>
        </w:rPr>
        <w:t xml:space="preserve">es terrasses </w:t>
      </w:r>
      <w:r>
        <w:rPr>
          <w:rFonts w:ascii="Times New Roman" w:hAnsi="Times New Roman" w:cs="Times New Roman"/>
        </w:rPr>
        <w:t>argilo-siliceuse</w:t>
      </w:r>
      <w:r w:rsidR="00921E2F">
        <w:rPr>
          <w:rFonts w:ascii="Times New Roman" w:hAnsi="Times New Roman" w:cs="Times New Roman"/>
        </w:rPr>
        <w:t xml:space="preserve"> (</w:t>
      </w:r>
      <w:r w:rsidR="00595AB4">
        <w:rPr>
          <w:rFonts w:ascii="Times New Roman" w:hAnsi="Times New Roman" w:cs="Times New Roman"/>
        </w:rPr>
        <w:t>Les Victoires</w:t>
      </w:r>
      <w:r w:rsidR="00921E2F">
        <w:rPr>
          <w:rFonts w:ascii="Times New Roman" w:hAnsi="Times New Roman" w:cs="Times New Roman"/>
        </w:rPr>
        <w:t>).</w:t>
      </w:r>
    </w:p>
    <w:p w14:paraId="0FE2EB1D" w14:textId="61C6BA6E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Pr="00027191">
        <w:rPr>
          <w:rFonts w:ascii="Times New Roman" w:hAnsi="Times New Roman" w:cs="Times New Roman"/>
        </w:rPr>
        <w:t xml:space="preserve"> L’ensemble de nos vignes </w:t>
      </w:r>
      <w:r w:rsidR="00421E00">
        <w:rPr>
          <w:rFonts w:ascii="Times New Roman" w:hAnsi="Times New Roman" w:cs="Times New Roman"/>
        </w:rPr>
        <w:t>es</w:t>
      </w:r>
      <w:r w:rsidRPr="00027191">
        <w:rPr>
          <w:rFonts w:ascii="Times New Roman" w:hAnsi="Times New Roman" w:cs="Times New Roman"/>
        </w:rPr>
        <w:t xml:space="preserve">t </w:t>
      </w:r>
      <w:r w:rsidR="00DC67A2" w:rsidRPr="00027191">
        <w:rPr>
          <w:rFonts w:ascii="Times New Roman" w:hAnsi="Times New Roman" w:cs="Times New Roman"/>
        </w:rPr>
        <w:t>entretenu</w:t>
      </w:r>
      <w:r w:rsidRPr="00027191">
        <w:rPr>
          <w:rFonts w:ascii="Times New Roman" w:hAnsi="Times New Roman" w:cs="Times New Roman"/>
        </w:rPr>
        <w:t xml:space="preserve"> par un travail du sol superficiel. L’apport de fertilisants organiques (AB) permet de stimuler et de nourrir nos sols. Nous privilég</w:t>
      </w:r>
      <w:r>
        <w:rPr>
          <w:rFonts w:ascii="Times New Roman" w:hAnsi="Times New Roman" w:cs="Times New Roman"/>
        </w:rPr>
        <w:t>i</w:t>
      </w:r>
      <w:r w:rsidRPr="00027191">
        <w:rPr>
          <w:rFonts w:ascii="Times New Roman" w:hAnsi="Times New Roman" w:cs="Times New Roman"/>
        </w:rPr>
        <w:t>ons les bouillies à base de cuivre et soufre pour maîtriser les maladies de la vigne. Cette année nous débuterons notre première année de certification AB. Certaines méthodes sont empruntées à la viticulture biodynamique pour mener à bien notre vignoble.</w:t>
      </w:r>
    </w:p>
    <w:p w14:paraId="0F627BE0" w14:textId="0C04F28D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Récolte : </w:t>
      </w:r>
      <w:r w:rsidRPr="00027191">
        <w:rPr>
          <w:rFonts w:ascii="Times New Roman" w:hAnsi="Times New Roman" w:cs="Times New Roman"/>
        </w:rPr>
        <w:t>Vendange</w:t>
      </w:r>
      <w:r w:rsidR="00921E2F">
        <w:rPr>
          <w:rFonts w:ascii="Times New Roman" w:hAnsi="Times New Roman" w:cs="Times New Roman"/>
        </w:rPr>
        <w:t xml:space="preserve"> mécanique et tri au remplissage du pressoir</w:t>
      </w:r>
      <w:r>
        <w:rPr>
          <w:rFonts w:ascii="Times New Roman" w:hAnsi="Times New Roman" w:cs="Times New Roman"/>
        </w:rPr>
        <w:t xml:space="preserve"> (</w:t>
      </w:r>
      <w:r w:rsidR="00921E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hl/ha).</w:t>
      </w:r>
    </w:p>
    <w:p w14:paraId="5036E6AA" w14:textId="126F4DC7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</w:t>
      </w:r>
      <w:r>
        <w:rPr>
          <w:rFonts w:ascii="Times New Roman" w:hAnsi="Times New Roman" w:cs="Times New Roman"/>
        </w:rPr>
        <w:t xml:space="preserve"> </w:t>
      </w:r>
      <w:r w:rsidR="00921E2F" w:rsidRPr="00027191">
        <w:rPr>
          <w:rFonts w:ascii="Times New Roman" w:hAnsi="Times New Roman" w:cs="Times New Roman"/>
        </w:rPr>
        <w:t xml:space="preserve">Fermentation alcoolique de 12 jours par </w:t>
      </w:r>
      <w:r w:rsidR="00921E2F">
        <w:rPr>
          <w:rFonts w:ascii="Times New Roman" w:hAnsi="Times New Roman" w:cs="Times New Roman"/>
        </w:rPr>
        <w:t>l</w:t>
      </w:r>
      <w:r w:rsidR="00921E2F" w:rsidRPr="00027191">
        <w:rPr>
          <w:rFonts w:ascii="Times New Roman" w:hAnsi="Times New Roman" w:cs="Times New Roman"/>
        </w:rPr>
        <w:t>es levures</w:t>
      </w:r>
      <w:r w:rsidR="00921E2F">
        <w:rPr>
          <w:rFonts w:ascii="Times New Roman" w:hAnsi="Times New Roman" w:cs="Times New Roman"/>
        </w:rPr>
        <w:t xml:space="preserve"> indigènes</w:t>
      </w:r>
      <w:r w:rsidR="00921E2F" w:rsidRPr="00027191">
        <w:rPr>
          <w:rFonts w:ascii="Times New Roman" w:hAnsi="Times New Roman" w:cs="Times New Roman"/>
        </w:rPr>
        <w:t xml:space="preserve"> à 18/20°C. Elevage de </w:t>
      </w:r>
      <w:r w:rsidR="00B65877">
        <w:rPr>
          <w:rFonts w:ascii="Times New Roman" w:hAnsi="Times New Roman" w:cs="Times New Roman"/>
        </w:rPr>
        <w:t>7</w:t>
      </w:r>
      <w:r w:rsidR="00921E2F" w:rsidRPr="00027191">
        <w:rPr>
          <w:rFonts w:ascii="Times New Roman" w:hAnsi="Times New Roman" w:cs="Times New Roman"/>
        </w:rPr>
        <w:t xml:space="preserve"> mois sur lies fines. Sulfitage raisonné après fermentation alcoolique et correction avant la mise en bouteille. Aucune pratique consistant à modifier les caractéristiques du millésime (acidification) n’est effectuée sur le domaine. Nous respectons les fruits de nos vignes et du millésime</w:t>
      </w:r>
      <w:r w:rsidR="00DC67A2">
        <w:rPr>
          <w:rFonts w:ascii="Times New Roman" w:hAnsi="Times New Roman" w:cs="Times New Roman"/>
        </w:rPr>
        <w:t>.</w:t>
      </w:r>
    </w:p>
    <w:p w14:paraId="653BDAA0" w14:textId="77777777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(49mm), bouchons naturels sans TCA ayant une neutralité sensorielle.</w:t>
      </w:r>
    </w:p>
    <w:p w14:paraId="443F2848" w14:textId="2D60763C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Pr="00027191">
        <w:rPr>
          <w:rFonts w:ascii="Times New Roman" w:hAnsi="Times New Roman" w:cs="Times New Roman"/>
        </w:rPr>
        <w:t> : Alors que de nombreux records (précocité, chaleur, sécheresse) n’avaient de cesse d’être battus, nous nous préparions à récolter des raisins déséquilibrés par un taux de sucre trop important. Au final les ondées rafraîchissantes et revigorantes du mois d’</w:t>
      </w:r>
      <w:r w:rsidR="00023FC0">
        <w:rPr>
          <w:rFonts w:ascii="Times New Roman" w:hAnsi="Times New Roman" w:cs="Times New Roman"/>
        </w:rPr>
        <w:t>a</w:t>
      </w:r>
      <w:r w:rsidRPr="00027191">
        <w:rPr>
          <w:rFonts w:ascii="Times New Roman" w:hAnsi="Times New Roman" w:cs="Times New Roman"/>
        </w:rPr>
        <w:t>oût ont permis de maintenir une fraîcheur aromatique</w:t>
      </w:r>
      <w:r w:rsidR="00921E2F">
        <w:rPr>
          <w:rFonts w:ascii="Times New Roman" w:hAnsi="Times New Roman" w:cs="Times New Roman"/>
        </w:rPr>
        <w:t xml:space="preserve">, et de </w:t>
      </w:r>
      <w:r w:rsidR="006D6644">
        <w:rPr>
          <w:rFonts w:ascii="Times New Roman" w:hAnsi="Times New Roman" w:cs="Times New Roman"/>
        </w:rPr>
        <w:t>sauver les acidités.</w:t>
      </w:r>
    </w:p>
    <w:p w14:paraId="45F92B2C" w14:textId="53077999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 xml:space="preserve"> : </w:t>
      </w:r>
      <w:r w:rsidR="00BC1217">
        <w:rPr>
          <w:rFonts w:ascii="Times New Roman" w:hAnsi="Times New Roman" w:cs="Times New Roman"/>
        </w:rPr>
        <w:t>Le nez s’exprime</w:t>
      </w:r>
      <w:r w:rsidR="00492BD5">
        <w:rPr>
          <w:rFonts w:ascii="Times New Roman" w:hAnsi="Times New Roman" w:cs="Times New Roman"/>
        </w:rPr>
        <w:t xml:space="preserve"> sur</w:t>
      </w:r>
      <w:r w:rsidR="00BC1217">
        <w:rPr>
          <w:rFonts w:ascii="Times New Roman" w:hAnsi="Times New Roman" w:cs="Times New Roman"/>
        </w:rPr>
        <w:t xml:space="preserve"> </w:t>
      </w:r>
      <w:r w:rsidR="00492BD5">
        <w:rPr>
          <w:rFonts w:ascii="Times New Roman" w:hAnsi="Times New Roman" w:cs="Times New Roman"/>
        </w:rPr>
        <w:t>l</w:t>
      </w:r>
      <w:r w:rsidR="00BC1217">
        <w:rPr>
          <w:rFonts w:ascii="Times New Roman" w:hAnsi="Times New Roman" w:cs="Times New Roman"/>
        </w:rPr>
        <w:t xml:space="preserve">es agrumes comme le citron, le pamplemousse. Ce millésime chaleureux laisse </w:t>
      </w:r>
      <w:r w:rsidR="00492BD5">
        <w:rPr>
          <w:rFonts w:ascii="Times New Roman" w:hAnsi="Times New Roman" w:cs="Times New Roman"/>
        </w:rPr>
        <w:t xml:space="preserve">aussi </w:t>
      </w:r>
      <w:r w:rsidR="00BC1217">
        <w:rPr>
          <w:rFonts w:ascii="Times New Roman" w:hAnsi="Times New Roman" w:cs="Times New Roman"/>
        </w:rPr>
        <w:t xml:space="preserve">apparaître </w:t>
      </w:r>
      <w:r w:rsidR="00492BD5">
        <w:rPr>
          <w:rFonts w:ascii="Times New Roman" w:hAnsi="Times New Roman" w:cs="Times New Roman"/>
        </w:rPr>
        <w:t>des notes de fruits jaunes comme la mirabelle. En bouche on retrouve les agrumes, celle-ci est marqué</w:t>
      </w:r>
      <w:r w:rsidR="00DC67A2">
        <w:rPr>
          <w:rFonts w:ascii="Times New Roman" w:hAnsi="Times New Roman" w:cs="Times New Roman"/>
        </w:rPr>
        <w:t>e</w:t>
      </w:r>
      <w:r w:rsidR="00492BD5">
        <w:rPr>
          <w:rFonts w:ascii="Times New Roman" w:hAnsi="Times New Roman" w:cs="Times New Roman"/>
        </w:rPr>
        <w:t xml:space="preserve"> par une onctuosité et une finale iodée et salivante tenue par des amers.</w:t>
      </w:r>
    </w:p>
    <w:p w14:paraId="02FA08BC" w14:textId="60241F7C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Accord mets et vins :</w:t>
      </w:r>
      <w:r>
        <w:rPr>
          <w:rFonts w:ascii="Times New Roman" w:hAnsi="Times New Roman" w:cs="Times New Roman"/>
        </w:rPr>
        <w:t xml:space="preserve"> </w:t>
      </w:r>
      <w:r w:rsidR="006D6644">
        <w:rPr>
          <w:rFonts w:ascii="Times New Roman" w:hAnsi="Times New Roman" w:cs="Times New Roman"/>
        </w:rPr>
        <w:t>crustacés</w:t>
      </w:r>
      <w:r>
        <w:rPr>
          <w:rFonts w:ascii="Times New Roman" w:hAnsi="Times New Roman" w:cs="Times New Roman"/>
        </w:rPr>
        <w:t>,</w:t>
      </w:r>
      <w:r w:rsidR="006D6644">
        <w:rPr>
          <w:rFonts w:ascii="Times New Roman" w:hAnsi="Times New Roman" w:cs="Times New Roman"/>
        </w:rPr>
        <w:t xml:space="preserve"> tartare de poisson, brochet beurre blanc, Crottin de Chavignol</w:t>
      </w:r>
    </w:p>
    <w:p w14:paraId="4D2DCE4A" w14:textId="0991FB83" w:rsidR="00722AD1" w:rsidRDefault="00EE7422" w:rsidP="00EE7422">
      <w:pPr>
        <w:tabs>
          <w:tab w:val="left" w:pos="1080"/>
        </w:tabs>
        <w:jc w:val="both"/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 xml:space="preserve"> : 2 à </w:t>
      </w:r>
      <w:r>
        <w:rPr>
          <w:rFonts w:ascii="Times New Roman" w:hAnsi="Times New Roman" w:cs="Times New Roman"/>
        </w:rPr>
        <w:t>6</w:t>
      </w:r>
      <w:r w:rsidRPr="00027191">
        <w:rPr>
          <w:rFonts w:ascii="Times New Roman" w:hAnsi="Times New Roman" w:cs="Times New Roman"/>
        </w:rPr>
        <w:t xml:space="preserve"> années avec un apogée à </w:t>
      </w:r>
      <w:r>
        <w:rPr>
          <w:rFonts w:ascii="Times New Roman" w:hAnsi="Times New Roman" w:cs="Times New Roman"/>
        </w:rPr>
        <w:t>3</w:t>
      </w:r>
      <w:r w:rsidRPr="00027191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s.</w:t>
      </w:r>
    </w:p>
    <w:sectPr w:rsidR="00722AD1" w:rsidSect="00DD70A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CFDD" w14:textId="77777777" w:rsidR="006C3B81" w:rsidRDefault="006C3B81" w:rsidP="00EE7422">
      <w:pPr>
        <w:spacing w:after="0" w:line="240" w:lineRule="auto"/>
      </w:pPr>
      <w:r>
        <w:separator/>
      </w:r>
    </w:p>
  </w:endnote>
  <w:endnote w:type="continuationSeparator" w:id="0">
    <w:p w14:paraId="7564B9B5" w14:textId="77777777" w:rsidR="006C3B81" w:rsidRDefault="006C3B81" w:rsidP="00EE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4996" w14:textId="77777777" w:rsidR="006C3B81" w:rsidRDefault="006C3B81" w:rsidP="00EE7422">
      <w:pPr>
        <w:spacing w:after="0" w:line="240" w:lineRule="auto"/>
      </w:pPr>
      <w:r>
        <w:separator/>
      </w:r>
    </w:p>
  </w:footnote>
  <w:footnote w:type="continuationSeparator" w:id="0">
    <w:p w14:paraId="65BD9968" w14:textId="77777777" w:rsidR="006C3B81" w:rsidRDefault="006C3B81" w:rsidP="00EE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F00A" w14:textId="77777777" w:rsidR="00DD70AC" w:rsidRPr="0093125D" w:rsidRDefault="003974E1" w:rsidP="00DD70AC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0FAA5F4A" w14:textId="07B876AB" w:rsidR="00DD70AC" w:rsidRPr="003974E1" w:rsidRDefault="00E83B21" w:rsidP="003974E1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1r</w:t>
    </w:r>
    <w:r w:rsidR="00E42B4C">
      <w:rPr>
        <w:rFonts w:ascii="Times New Roman" w:hAnsi="Times New Roman" w:cs="Times New Roman"/>
        <w:sz w:val="28"/>
        <w:szCs w:val="28"/>
      </w:rPr>
      <w:t>e</w:t>
    </w:r>
    <w:r w:rsidR="00EE7422">
      <w:rPr>
        <w:rFonts w:ascii="Times New Roman" w:hAnsi="Times New Roman" w:cs="Times New Roman"/>
        <w:sz w:val="28"/>
        <w:szCs w:val="28"/>
      </w:rPr>
      <w:t xml:space="preserve"> Confidence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– 2022 </w:t>
    </w:r>
    <w:r w:rsidR="00EE7422">
      <w:rPr>
        <w:rFonts w:ascii="Times New Roman" w:hAnsi="Times New Roman" w:cs="Times New Roman"/>
        <w:sz w:val="28"/>
        <w:szCs w:val="28"/>
      </w:rPr>
      <w:t>–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</w:t>
    </w:r>
    <w:r w:rsidR="00EE7422">
      <w:rPr>
        <w:rFonts w:ascii="Times New Roman" w:hAnsi="Times New Roman" w:cs="Times New Roman"/>
        <w:sz w:val="28"/>
        <w:szCs w:val="28"/>
      </w:rPr>
      <w:t>AOC QUINCY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22"/>
    <w:rsid w:val="00023FC0"/>
    <w:rsid w:val="003974E1"/>
    <w:rsid w:val="00397801"/>
    <w:rsid w:val="00421E00"/>
    <w:rsid w:val="00492BD5"/>
    <w:rsid w:val="00562C5D"/>
    <w:rsid w:val="00595AB4"/>
    <w:rsid w:val="006C3B81"/>
    <w:rsid w:val="006D6644"/>
    <w:rsid w:val="00830761"/>
    <w:rsid w:val="008E3A1F"/>
    <w:rsid w:val="00921E2F"/>
    <w:rsid w:val="00990C30"/>
    <w:rsid w:val="00AC10AD"/>
    <w:rsid w:val="00B153B3"/>
    <w:rsid w:val="00B65877"/>
    <w:rsid w:val="00B96F90"/>
    <w:rsid w:val="00BA0A4F"/>
    <w:rsid w:val="00BC1217"/>
    <w:rsid w:val="00D94F14"/>
    <w:rsid w:val="00DC67A2"/>
    <w:rsid w:val="00E02A04"/>
    <w:rsid w:val="00E42B4C"/>
    <w:rsid w:val="00E83B21"/>
    <w:rsid w:val="00E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4D0"/>
  <w15:chartTrackingRefBased/>
  <w15:docId w15:val="{6276BE32-B306-47F7-9C6B-266643B8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422"/>
  </w:style>
  <w:style w:type="paragraph" w:styleId="Pieddepage">
    <w:name w:val="footer"/>
    <w:basedOn w:val="Normal"/>
    <w:link w:val="Pieddepag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14</cp:revision>
  <dcterms:created xsi:type="dcterms:W3CDTF">2023-01-29T18:30:00Z</dcterms:created>
  <dcterms:modified xsi:type="dcterms:W3CDTF">2023-04-18T07:19:00Z</dcterms:modified>
</cp:coreProperties>
</file>