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78AF" w14:textId="77777777" w:rsidR="00875D79" w:rsidRDefault="00875D79" w:rsidP="00D96940">
      <w:r>
        <w:rPr>
          <w:noProof/>
        </w:rPr>
        <w:drawing>
          <wp:anchor distT="0" distB="0" distL="114300" distR="114300" simplePos="0" relativeHeight="251659264" behindDoc="1" locked="0" layoutInCell="1" allowOverlap="1" wp14:anchorId="070E1863" wp14:editId="42CA5539">
            <wp:simplePos x="0" y="0"/>
            <wp:positionH relativeFrom="page">
              <wp:align>right</wp:align>
            </wp:positionH>
            <wp:positionV relativeFrom="paragraph">
              <wp:posOffset>285750</wp:posOffset>
            </wp:positionV>
            <wp:extent cx="2686685" cy="7653655"/>
            <wp:effectExtent l="0" t="0" r="0" b="4445"/>
            <wp:wrapTight wrapText="bothSides">
              <wp:wrapPolygon edited="0">
                <wp:start x="0" y="0"/>
                <wp:lineTo x="0" y="21559"/>
                <wp:lineTo x="21442" y="21559"/>
                <wp:lineTo x="2144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685" cy="765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875D79" w:rsidRPr="006B77B4" w14:paraId="38FC9ABD" w14:textId="77777777" w:rsidTr="000E7233">
        <w:trPr>
          <w:trHeight w:val="413"/>
        </w:trPr>
        <w:tc>
          <w:tcPr>
            <w:tcW w:w="2122" w:type="dxa"/>
          </w:tcPr>
          <w:p w14:paraId="1EEE8966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Région</w:t>
            </w:r>
          </w:p>
        </w:tc>
        <w:tc>
          <w:tcPr>
            <w:tcW w:w="3685" w:type="dxa"/>
          </w:tcPr>
          <w:p w14:paraId="4019CDE5" w14:textId="77777777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Centre Loire</w:t>
            </w:r>
          </w:p>
        </w:tc>
      </w:tr>
      <w:tr w:rsidR="00875D79" w:rsidRPr="006B77B4" w14:paraId="4CE3D69D" w14:textId="77777777" w:rsidTr="000E7233">
        <w:trPr>
          <w:trHeight w:val="441"/>
        </w:trPr>
        <w:tc>
          <w:tcPr>
            <w:tcW w:w="2122" w:type="dxa"/>
          </w:tcPr>
          <w:p w14:paraId="4DC9289D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Appellation</w:t>
            </w:r>
          </w:p>
        </w:tc>
        <w:tc>
          <w:tcPr>
            <w:tcW w:w="3685" w:type="dxa"/>
          </w:tcPr>
          <w:p w14:paraId="3927F4B7" w14:textId="77777777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Vin de Pays des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teau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 xml:space="preserve"> du Cher et de l’Arnon</w:t>
            </w:r>
          </w:p>
        </w:tc>
      </w:tr>
      <w:tr w:rsidR="00875D79" w:rsidRPr="006B77B4" w14:paraId="7BE079DF" w14:textId="77777777" w:rsidTr="000E7233">
        <w:trPr>
          <w:trHeight w:val="413"/>
        </w:trPr>
        <w:tc>
          <w:tcPr>
            <w:tcW w:w="2122" w:type="dxa"/>
          </w:tcPr>
          <w:p w14:paraId="5BAD1F79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Cuvée</w:t>
            </w:r>
          </w:p>
        </w:tc>
        <w:tc>
          <w:tcPr>
            <w:tcW w:w="3685" w:type="dxa"/>
          </w:tcPr>
          <w:p w14:paraId="1B9D4804" w14:textId="77777777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Fidélie</w:t>
            </w:r>
          </w:p>
        </w:tc>
      </w:tr>
      <w:tr w:rsidR="00875D79" w:rsidRPr="006B77B4" w14:paraId="7EC021B4" w14:textId="77777777" w:rsidTr="000E7233">
        <w:trPr>
          <w:trHeight w:val="413"/>
        </w:trPr>
        <w:tc>
          <w:tcPr>
            <w:tcW w:w="2122" w:type="dxa"/>
          </w:tcPr>
          <w:p w14:paraId="6DB05798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Couleur</w:t>
            </w:r>
          </w:p>
        </w:tc>
        <w:tc>
          <w:tcPr>
            <w:tcW w:w="3685" w:type="dxa"/>
          </w:tcPr>
          <w:p w14:paraId="211D5E87" w14:textId="77777777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Rouge</w:t>
            </w:r>
          </w:p>
        </w:tc>
      </w:tr>
      <w:tr w:rsidR="00875D79" w:rsidRPr="006B77B4" w14:paraId="4A116DA0" w14:textId="77777777" w:rsidTr="000E7233">
        <w:trPr>
          <w:trHeight w:val="441"/>
        </w:trPr>
        <w:tc>
          <w:tcPr>
            <w:tcW w:w="2122" w:type="dxa"/>
          </w:tcPr>
          <w:p w14:paraId="2BD9ED3A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Millésime</w:t>
            </w:r>
          </w:p>
        </w:tc>
        <w:tc>
          <w:tcPr>
            <w:tcW w:w="3685" w:type="dxa"/>
          </w:tcPr>
          <w:p w14:paraId="626EA734" w14:textId="094521C3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A1F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75D79" w:rsidRPr="006B77B4" w14:paraId="6DDFE327" w14:textId="77777777" w:rsidTr="000E7233">
        <w:trPr>
          <w:trHeight w:val="413"/>
        </w:trPr>
        <w:tc>
          <w:tcPr>
            <w:tcW w:w="2122" w:type="dxa"/>
          </w:tcPr>
          <w:p w14:paraId="19A77702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Cépage</w:t>
            </w:r>
          </w:p>
        </w:tc>
        <w:tc>
          <w:tcPr>
            <w:tcW w:w="3685" w:type="dxa"/>
          </w:tcPr>
          <w:p w14:paraId="488D4013" w14:textId="77777777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 xml:space="preserve">Pinot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Noir 90 % et Gamay 10 %</w:t>
            </w:r>
          </w:p>
        </w:tc>
      </w:tr>
      <w:tr w:rsidR="00875D79" w:rsidRPr="006B77B4" w14:paraId="3DCFFEE1" w14:textId="77777777" w:rsidTr="000E7233">
        <w:trPr>
          <w:trHeight w:val="413"/>
        </w:trPr>
        <w:tc>
          <w:tcPr>
            <w:tcW w:w="2122" w:type="dxa"/>
          </w:tcPr>
          <w:p w14:paraId="411A4F98" w14:textId="77777777" w:rsidR="00875D79" w:rsidRPr="003064F3" w:rsidRDefault="00875D79" w:rsidP="00D96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6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Degré alcoolique</w:t>
            </w:r>
          </w:p>
        </w:tc>
        <w:tc>
          <w:tcPr>
            <w:tcW w:w="3685" w:type="dxa"/>
          </w:tcPr>
          <w:p w14:paraId="296C60F2" w14:textId="0CDB6DBD" w:rsidR="00875D79" w:rsidRPr="0093125D" w:rsidRDefault="00875D79" w:rsidP="00D96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1F6D">
              <w:rPr>
                <w:rFonts w:ascii="Times New Roman" w:hAnsi="Times New Roman" w:cs="Times New Roman"/>
                <w:sz w:val="20"/>
                <w:szCs w:val="20"/>
              </w:rPr>
              <w:t>2,5 %vol</w:t>
            </w:r>
          </w:p>
        </w:tc>
      </w:tr>
    </w:tbl>
    <w:p w14:paraId="6F71C4D8" w14:textId="77777777" w:rsidR="00875D79" w:rsidRPr="0093125D" w:rsidRDefault="00875D79" w:rsidP="00D96940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A997AC4" w14:textId="70A41940" w:rsidR="00875D79" w:rsidRPr="00027191" w:rsidRDefault="00875D79" w:rsidP="00D96940">
      <w:pPr>
        <w:jc w:val="both"/>
        <w:rPr>
          <w:rFonts w:ascii="Times New Roman" w:hAnsi="Times New Roman" w:cs="Times New Roman"/>
        </w:rPr>
      </w:pPr>
      <w:bookmarkStart w:id="0" w:name="_Hlk131523371"/>
      <w:r w:rsidRPr="00027191">
        <w:rPr>
          <w:rFonts w:ascii="Times New Roman" w:hAnsi="Times New Roman" w:cs="Times New Roman"/>
          <w:b/>
          <w:bCs/>
        </w:rPr>
        <w:t xml:space="preserve">Terroir : </w:t>
      </w:r>
      <w:r w:rsidRPr="00027191">
        <w:rPr>
          <w:rFonts w:ascii="Times New Roman" w:hAnsi="Times New Roman" w:cs="Times New Roman"/>
        </w:rPr>
        <w:t>Vigne</w:t>
      </w:r>
      <w:r>
        <w:rPr>
          <w:rFonts w:ascii="Times New Roman" w:hAnsi="Times New Roman" w:cs="Times New Roman"/>
        </w:rPr>
        <w:t xml:space="preserve">s complantées, âge moyen </w:t>
      </w:r>
      <w:r w:rsidR="000A1F6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ans</w:t>
      </w:r>
      <w:r w:rsidRPr="00027191">
        <w:rPr>
          <w:rFonts w:ascii="Times New Roman" w:hAnsi="Times New Roman" w:cs="Times New Roman"/>
        </w:rPr>
        <w:t xml:space="preserve">, plantées sur des terrasses </w:t>
      </w:r>
      <w:r>
        <w:rPr>
          <w:rFonts w:ascii="Times New Roman" w:hAnsi="Times New Roman" w:cs="Times New Roman"/>
        </w:rPr>
        <w:t>argilo-graveleuses et argilo-siliceuse</w:t>
      </w:r>
      <w:r w:rsidR="004E2E8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6D07AB69" w14:textId="23D37F7A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Culture :</w:t>
      </w:r>
      <w:r w:rsidRPr="00027191">
        <w:rPr>
          <w:rFonts w:ascii="Times New Roman" w:hAnsi="Times New Roman" w:cs="Times New Roman"/>
        </w:rPr>
        <w:t xml:space="preserve"> L’ensemble de nos vignes </w:t>
      </w:r>
      <w:r>
        <w:rPr>
          <w:rFonts w:ascii="Times New Roman" w:hAnsi="Times New Roman" w:cs="Times New Roman"/>
        </w:rPr>
        <w:t>es</w:t>
      </w:r>
      <w:r w:rsidRPr="00027191">
        <w:rPr>
          <w:rFonts w:ascii="Times New Roman" w:hAnsi="Times New Roman" w:cs="Times New Roman"/>
        </w:rPr>
        <w:t>t entretenu par un travail du sol superficiel. L’apport de fertilisants organiques (AB)</w:t>
      </w:r>
      <w:r w:rsidR="000A1F6D">
        <w:rPr>
          <w:rFonts w:ascii="Times New Roman" w:hAnsi="Times New Roman" w:cs="Times New Roman"/>
        </w:rPr>
        <w:t xml:space="preserve"> et de fumier composté</w:t>
      </w:r>
      <w:r w:rsidRPr="00027191">
        <w:rPr>
          <w:rFonts w:ascii="Times New Roman" w:hAnsi="Times New Roman" w:cs="Times New Roman"/>
        </w:rPr>
        <w:t xml:space="preserve"> permet de stimuler et de nourrir nos sols. Nous privilég</w:t>
      </w:r>
      <w:r>
        <w:rPr>
          <w:rFonts w:ascii="Times New Roman" w:hAnsi="Times New Roman" w:cs="Times New Roman"/>
        </w:rPr>
        <w:t>i</w:t>
      </w:r>
      <w:r w:rsidRPr="00027191">
        <w:rPr>
          <w:rFonts w:ascii="Times New Roman" w:hAnsi="Times New Roman" w:cs="Times New Roman"/>
        </w:rPr>
        <w:t>ons les bouillies à base de cuivre et soufre pour maîtriser les maladies de la vigne.</w:t>
      </w:r>
      <w:r w:rsidR="000A1F6D">
        <w:rPr>
          <w:rFonts w:ascii="Times New Roman" w:hAnsi="Times New Roman" w:cs="Times New Roman"/>
        </w:rPr>
        <w:t xml:space="preserve"> Notre vignoble est en cours de conversion vers l’agriculture biologique</w:t>
      </w:r>
      <w:r w:rsidRPr="00027191">
        <w:rPr>
          <w:rFonts w:ascii="Times New Roman" w:hAnsi="Times New Roman" w:cs="Times New Roman"/>
        </w:rPr>
        <w:t>.</w:t>
      </w:r>
      <w:r w:rsidR="000A1F6D">
        <w:rPr>
          <w:rFonts w:ascii="Times New Roman" w:hAnsi="Times New Roman" w:cs="Times New Roman"/>
        </w:rPr>
        <w:t xml:space="preserve"> Plusieurs préparations biodynamiques telles</w:t>
      </w:r>
      <w:r w:rsidR="004E2E8D">
        <w:rPr>
          <w:rFonts w:ascii="Times New Roman" w:hAnsi="Times New Roman" w:cs="Times New Roman"/>
        </w:rPr>
        <w:t xml:space="preserve"> que</w:t>
      </w:r>
      <w:r w:rsidR="000A1F6D">
        <w:rPr>
          <w:rFonts w:ascii="Times New Roman" w:hAnsi="Times New Roman" w:cs="Times New Roman"/>
        </w:rPr>
        <w:t xml:space="preserve"> la 500,</w:t>
      </w:r>
      <w:r w:rsidR="004E2E8D">
        <w:rPr>
          <w:rFonts w:ascii="Times New Roman" w:hAnsi="Times New Roman" w:cs="Times New Roman"/>
        </w:rPr>
        <w:t xml:space="preserve"> la</w:t>
      </w:r>
      <w:r w:rsidR="000A1F6D">
        <w:rPr>
          <w:rFonts w:ascii="Times New Roman" w:hAnsi="Times New Roman" w:cs="Times New Roman"/>
        </w:rPr>
        <w:t xml:space="preserve"> 501 et </w:t>
      </w:r>
      <w:r w:rsidR="004E2E8D">
        <w:rPr>
          <w:rFonts w:ascii="Times New Roman" w:hAnsi="Times New Roman" w:cs="Times New Roman"/>
        </w:rPr>
        <w:t xml:space="preserve">les </w:t>
      </w:r>
      <w:r w:rsidR="000A1F6D">
        <w:rPr>
          <w:rFonts w:ascii="Times New Roman" w:hAnsi="Times New Roman" w:cs="Times New Roman"/>
        </w:rPr>
        <w:t>tisanes de plante</w:t>
      </w:r>
      <w:r w:rsidR="004E2E8D">
        <w:rPr>
          <w:rFonts w:ascii="Times New Roman" w:hAnsi="Times New Roman" w:cs="Times New Roman"/>
        </w:rPr>
        <w:t>s</w:t>
      </w:r>
      <w:r w:rsidR="000A1F6D">
        <w:rPr>
          <w:rFonts w:ascii="Times New Roman" w:hAnsi="Times New Roman" w:cs="Times New Roman"/>
        </w:rPr>
        <w:t xml:space="preserve"> sont appliquées selon le stade végétatif du végétal et de la saison.</w:t>
      </w:r>
    </w:p>
    <w:p w14:paraId="5A47BEDF" w14:textId="42C23402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Récolte : </w:t>
      </w:r>
      <w:r w:rsidRPr="00027191">
        <w:rPr>
          <w:rFonts w:ascii="Times New Roman" w:hAnsi="Times New Roman" w:cs="Times New Roman"/>
        </w:rPr>
        <w:t>Vendange manuelle</w:t>
      </w:r>
      <w:r>
        <w:rPr>
          <w:rFonts w:ascii="Times New Roman" w:hAnsi="Times New Roman" w:cs="Times New Roman"/>
        </w:rPr>
        <w:t xml:space="preserve"> et passage sur table de tri. (</w:t>
      </w:r>
      <w:r w:rsidR="000A1F6D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hl/ha).</w:t>
      </w:r>
    </w:p>
    <w:p w14:paraId="0D72683A" w14:textId="0002FEFE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 xml:space="preserve">Vinifications et élevage : </w:t>
      </w:r>
      <w:r w:rsidRPr="00027191">
        <w:rPr>
          <w:rFonts w:ascii="Times New Roman" w:hAnsi="Times New Roman" w:cs="Times New Roman"/>
        </w:rPr>
        <w:t>Aucun sulfitage n’intervient à la réception de la récolte.</w:t>
      </w:r>
      <w:r>
        <w:rPr>
          <w:rFonts w:ascii="Times New Roman" w:hAnsi="Times New Roman" w:cs="Times New Roman"/>
        </w:rPr>
        <w:t xml:space="preserve"> Eraflage à </w:t>
      </w:r>
      <w:r w:rsidR="000A1F6D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%. </w:t>
      </w:r>
      <w:r w:rsidRPr="00027191">
        <w:rPr>
          <w:rFonts w:ascii="Times New Roman" w:hAnsi="Times New Roman" w:cs="Times New Roman"/>
        </w:rPr>
        <w:t>Fermentation alcoolique</w:t>
      </w:r>
      <w:r>
        <w:rPr>
          <w:rFonts w:ascii="Times New Roman" w:hAnsi="Times New Roman" w:cs="Times New Roman"/>
        </w:rPr>
        <w:t xml:space="preserve"> par les levures indigènes</w:t>
      </w:r>
      <w:r w:rsidRPr="00027191">
        <w:rPr>
          <w:rFonts w:ascii="Times New Roman" w:hAnsi="Times New Roman" w:cs="Times New Roman"/>
        </w:rPr>
        <w:t xml:space="preserve"> à 18/2</w:t>
      </w:r>
      <w:r>
        <w:rPr>
          <w:rFonts w:ascii="Times New Roman" w:hAnsi="Times New Roman" w:cs="Times New Roman"/>
        </w:rPr>
        <w:t>3°C, la durée de macération est de 3 semaines</w:t>
      </w:r>
      <w:r w:rsidRPr="00027191">
        <w:rPr>
          <w:rFonts w:ascii="Times New Roman" w:hAnsi="Times New Roman" w:cs="Times New Roman"/>
        </w:rPr>
        <w:t xml:space="preserve">. Elevage de </w:t>
      </w:r>
      <w:r>
        <w:rPr>
          <w:rFonts w:ascii="Times New Roman" w:hAnsi="Times New Roman" w:cs="Times New Roman"/>
        </w:rPr>
        <w:t>1</w:t>
      </w:r>
      <w:r w:rsidR="000A1F6D">
        <w:rPr>
          <w:rFonts w:ascii="Times New Roman" w:hAnsi="Times New Roman" w:cs="Times New Roman"/>
        </w:rPr>
        <w:t>1</w:t>
      </w:r>
      <w:r w:rsidRPr="00027191">
        <w:rPr>
          <w:rFonts w:ascii="Times New Roman" w:hAnsi="Times New Roman" w:cs="Times New Roman"/>
        </w:rPr>
        <w:t xml:space="preserve"> mois </w:t>
      </w:r>
      <w:r>
        <w:rPr>
          <w:rFonts w:ascii="Times New Roman" w:hAnsi="Times New Roman" w:cs="Times New Roman"/>
        </w:rPr>
        <w:t>pour la moitié de la cuvée en fût (1</w:t>
      </w:r>
      <w:r w:rsidR="000A1F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 w:rsidR="000A1F6D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ans) et le reste en cuve inox</w:t>
      </w:r>
      <w:r w:rsidRPr="00027191">
        <w:rPr>
          <w:rFonts w:ascii="Times New Roman" w:hAnsi="Times New Roman" w:cs="Times New Roman"/>
        </w:rPr>
        <w:t>. Sulfitage raisonné après fermentation alcoolique et correction avant la mise en bouteille. Aucune pratique consistant à modifier les caractéristiques du millésime (acidification) n’est effectuée sur le domaine. Nous respectons les fruits de nos vignes et du millésime.</w:t>
      </w:r>
    </w:p>
    <w:p w14:paraId="79152C2B" w14:textId="77777777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Bouchage</w:t>
      </w:r>
      <w:r w:rsidRPr="00027191">
        <w:rPr>
          <w:rFonts w:ascii="Times New Roman" w:hAnsi="Times New Roman" w:cs="Times New Roman"/>
        </w:rPr>
        <w:t> : TRESCASE aggloméré (49mm), bouchons naturels sans TCA ayant une neutralité sensorielle.</w:t>
      </w:r>
    </w:p>
    <w:p w14:paraId="3C4C692E" w14:textId="5FE6AC00" w:rsidR="00875D79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Millésime</w:t>
      </w:r>
      <w:r w:rsidRPr="00027191">
        <w:rPr>
          <w:rFonts w:ascii="Times New Roman" w:hAnsi="Times New Roman" w:cs="Times New Roman"/>
        </w:rPr>
        <w:t> :</w:t>
      </w:r>
      <w:r w:rsidR="00A85DD1">
        <w:rPr>
          <w:rFonts w:ascii="Times New Roman" w:hAnsi="Times New Roman" w:cs="Times New Roman"/>
        </w:rPr>
        <w:t xml:space="preserve"> </w:t>
      </w:r>
      <w:r w:rsidR="000F13BD">
        <w:rPr>
          <w:rFonts w:ascii="Times New Roman" w:hAnsi="Times New Roman" w:cs="Times New Roman"/>
        </w:rPr>
        <w:t>Le millésime 2024 restera dans la mémoire du vigneron comme l’un des plus complexe en termes de pluviométrie et d’écoute de la nature…</w:t>
      </w:r>
    </w:p>
    <w:p w14:paraId="2A6B93CE" w14:textId="77777777" w:rsidR="004E2E8D" w:rsidRDefault="000F13BD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campagne viticole n’aura pas été de tout repos</w:t>
      </w:r>
      <w:r w:rsidR="004E2E8D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>l’excès d’humidité aura fait la part belle au Mildiou</w:t>
      </w:r>
      <w:r w:rsidR="004E2E8D">
        <w:rPr>
          <w:rFonts w:ascii="Times New Roman" w:hAnsi="Times New Roman" w:cs="Times New Roman"/>
        </w:rPr>
        <w:t> ! P</w:t>
      </w:r>
      <w:r>
        <w:rPr>
          <w:rFonts w:ascii="Times New Roman" w:hAnsi="Times New Roman" w:cs="Times New Roman"/>
        </w:rPr>
        <w:t xml:space="preserve">lusieurs passages de préparation </w:t>
      </w:r>
      <w:r w:rsidR="008B3118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b</w:t>
      </w:r>
      <w:r w:rsidR="008B311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se de cuivre</w:t>
      </w:r>
      <w:r w:rsidR="004E2E8D">
        <w:rPr>
          <w:rFonts w:ascii="Times New Roman" w:hAnsi="Times New Roman" w:cs="Times New Roman"/>
        </w:rPr>
        <w:t xml:space="preserve"> </w:t>
      </w:r>
      <w:r w:rsidR="008B3118">
        <w:rPr>
          <w:rFonts w:ascii="Times New Roman" w:hAnsi="Times New Roman" w:cs="Times New Roman"/>
        </w:rPr>
        <w:t xml:space="preserve">ainsi que des </w:t>
      </w:r>
      <w:r w:rsidR="004E2E8D">
        <w:rPr>
          <w:rFonts w:ascii="Times New Roman" w:hAnsi="Times New Roman" w:cs="Times New Roman"/>
        </w:rPr>
        <w:t>effeuillages</w:t>
      </w:r>
      <w:r w:rsidR="008B3118">
        <w:rPr>
          <w:rFonts w:ascii="Times New Roman" w:hAnsi="Times New Roman" w:cs="Times New Roman"/>
        </w:rPr>
        <w:t xml:space="preserve"> répétitifs </w:t>
      </w:r>
      <w:r w:rsidR="004E2E8D">
        <w:rPr>
          <w:rFonts w:ascii="Times New Roman" w:hAnsi="Times New Roman" w:cs="Times New Roman"/>
        </w:rPr>
        <w:t>aur</w:t>
      </w:r>
      <w:r w:rsidR="008B3118">
        <w:rPr>
          <w:rFonts w:ascii="Times New Roman" w:hAnsi="Times New Roman" w:cs="Times New Roman"/>
        </w:rPr>
        <w:t>ont permis de sauver la moitié de la récolte</w:t>
      </w:r>
      <w:r w:rsidR="004E2E8D">
        <w:rPr>
          <w:rFonts w:ascii="Times New Roman" w:hAnsi="Times New Roman" w:cs="Times New Roman"/>
        </w:rPr>
        <w:t> !</w:t>
      </w:r>
    </w:p>
    <w:p w14:paraId="2CA92D7E" w14:textId="68CD6369" w:rsidR="008B3118" w:rsidRDefault="008B3118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 fut une leçon d’humilité pour le vigneron.</w:t>
      </w:r>
    </w:p>
    <w:p w14:paraId="754DC930" w14:textId="6C9585C0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Dégustation</w:t>
      </w:r>
      <w:r w:rsidRPr="00027191">
        <w:rPr>
          <w:rFonts w:ascii="Times New Roman" w:hAnsi="Times New Roman" w:cs="Times New Roman"/>
        </w:rPr>
        <w:t> : Le nez</w:t>
      </w:r>
      <w:r w:rsidR="008B3118">
        <w:rPr>
          <w:rFonts w:ascii="Times New Roman" w:hAnsi="Times New Roman" w:cs="Times New Roman"/>
        </w:rPr>
        <w:t xml:space="preserve"> délicat</w:t>
      </w:r>
      <w:r w:rsidRPr="00027191">
        <w:rPr>
          <w:rFonts w:ascii="Times New Roman" w:hAnsi="Times New Roman" w:cs="Times New Roman"/>
        </w:rPr>
        <w:t xml:space="preserve"> s’exprime par des notes</w:t>
      </w:r>
      <w:r>
        <w:rPr>
          <w:rFonts w:ascii="Times New Roman" w:hAnsi="Times New Roman" w:cs="Times New Roman"/>
        </w:rPr>
        <w:t xml:space="preserve"> de petits fruits </w:t>
      </w:r>
      <w:r w:rsidR="004E2E8D">
        <w:rPr>
          <w:rFonts w:ascii="Times New Roman" w:hAnsi="Times New Roman" w:cs="Times New Roman"/>
        </w:rPr>
        <w:t>rouges, de</w:t>
      </w:r>
      <w:r w:rsidR="008B3118">
        <w:rPr>
          <w:rFonts w:ascii="Times New Roman" w:hAnsi="Times New Roman" w:cs="Times New Roman"/>
        </w:rPr>
        <w:t xml:space="preserve"> noyau</w:t>
      </w:r>
      <w:r w:rsidR="004E2E8D">
        <w:rPr>
          <w:rFonts w:ascii="Times New Roman" w:hAnsi="Times New Roman" w:cs="Times New Roman"/>
        </w:rPr>
        <w:t>x</w:t>
      </w:r>
      <w:r w:rsidR="008B3118">
        <w:rPr>
          <w:rFonts w:ascii="Times New Roman" w:hAnsi="Times New Roman" w:cs="Times New Roman"/>
        </w:rPr>
        <w:t xml:space="preserve"> de cerise</w:t>
      </w:r>
      <w:r w:rsidR="004E2E8D">
        <w:rPr>
          <w:rFonts w:ascii="Times New Roman" w:hAnsi="Times New Roman" w:cs="Times New Roman"/>
        </w:rPr>
        <w:t>s. D</w:t>
      </w:r>
      <w:r>
        <w:rPr>
          <w:rFonts w:ascii="Times New Roman" w:hAnsi="Times New Roman" w:cs="Times New Roman"/>
        </w:rPr>
        <w:t>e</w:t>
      </w:r>
      <w:r w:rsidR="004E2E8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saveurs épicées comme le poivre apportent de la profondeur.</w:t>
      </w:r>
      <w:r w:rsidRPr="00027191">
        <w:rPr>
          <w:rFonts w:ascii="Times New Roman" w:hAnsi="Times New Roman" w:cs="Times New Roman"/>
        </w:rPr>
        <w:t xml:space="preserve"> La bouche</w:t>
      </w:r>
      <w:r w:rsidR="004E2E8D">
        <w:rPr>
          <w:rFonts w:ascii="Times New Roman" w:hAnsi="Times New Roman" w:cs="Times New Roman"/>
        </w:rPr>
        <w:t xml:space="preserve"> aérienne</w:t>
      </w:r>
      <w:r w:rsidRPr="000271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offre</w:t>
      </w:r>
      <w:r w:rsidR="008B3118">
        <w:rPr>
          <w:rFonts w:ascii="Times New Roman" w:hAnsi="Times New Roman" w:cs="Times New Roman"/>
        </w:rPr>
        <w:t xml:space="preserve"> une texture</w:t>
      </w:r>
      <w:r w:rsidR="004E2E8D">
        <w:rPr>
          <w:rFonts w:ascii="Times New Roman" w:hAnsi="Times New Roman" w:cs="Times New Roman"/>
        </w:rPr>
        <w:t xml:space="preserve"> acidulée où nous retrouvons les petits fruits rouges. Les tanins sont </w:t>
      </w:r>
      <w:r>
        <w:rPr>
          <w:rFonts w:ascii="Times New Roman" w:hAnsi="Times New Roman" w:cs="Times New Roman"/>
        </w:rPr>
        <w:t>souples et soyeux</w:t>
      </w:r>
      <w:r w:rsidR="004E2E8D">
        <w:rPr>
          <w:rFonts w:ascii="Times New Roman" w:hAnsi="Times New Roman" w:cs="Times New Roman"/>
        </w:rPr>
        <w:t xml:space="preserve"> et</w:t>
      </w:r>
      <w:r>
        <w:rPr>
          <w:rFonts w:ascii="Times New Roman" w:hAnsi="Times New Roman" w:cs="Times New Roman"/>
        </w:rPr>
        <w:t xml:space="preserve"> confèrent une certaine digestibilité.</w:t>
      </w:r>
    </w:p>
    <w:p w14:paraId="442C360A" w14:textId="77777777" w:rsidR="00875D79" w:rsidRPr="00027191" w:rsidRDefault="00875D79" w:rsidP="00D96940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27191">
        <w:rPr>
          <w:rFonts w:ascii="Times New Roman" w:hAnsi="Times New Roman" w:cs="Times New Roman"/>
          <w:b/>
          <w:bCs/>
        </w:rPr>
        <w:t>Accord mets et vins :</w:t>
      </w:r>
      <w:r>
        <w:rPr>
          <w:rFonts w:ascii="Times New Roman" w:hAnsi="Times New Roman" w:cs="Times New Roman"/>
        </w:rPr>
        <w:t xml:space="preserve"> Charcuterie, volaille (pintade), viandes grillées, fromage (pâte cuite).</w:t>
      </w:r>
    </w:p>
    <w:p w14:paraId="398A118D" w14:textId="19166C5F" w:rsidR="00734693" w:rsidRDefault="00875D79" w:rsidP="00D96940">
      <w:pPr>
        <w:tabs>
          <w:tab w:val="left" w:pos="1080"/>
        </w:tabs>
        <w:jc w:val="both"/>
      </w:pPr>
      <w:r w:rsidRPr="00027191">
        <w:rPr>
          <w:rFonts w:ascii="Times New Roman" w:hAnsi="Times New Roman" w:cs="Times New Roman"/>
          <w:b/>
          <w:bCs/>
        </w:rPr>
        <w:t>Garde</w:t>
      </w:r>
      <w:r w:rsidRPr="00027191">
        <w:rPr>
          <w:rFonts w:ascii="Times New Roman" w:hAnsi="Times New Roman" w:cs="Times New Roman"/>
        </w:rPr>
        <w:t xml:space="preserve"> : 2 à </w:t>
      </w:r>
      <w:r>
        <w:rPr>
          <w:rFonts w:ascii="Times New Roman" w:hAnsi="Times New Roman" w:cs="Times New Roman"/>
        </w:rPr>
        <w:t>6</w:t>
      </w:r>
      <w:r w:rsidRPr="00027191">
        <w:rPr>
          <w:rFonts w:ascii="Times New Roman" w:hAnsi="Times New Roman" w:cs="Times New Roman"/>
        </w:rPr>
        <w:t xml:space="preserve"> années avec un apogée à </w:t>
      </w:r>
      <w:r>
        <w:rPr>
          <w:rFonts w:ascii="Times New Roman" w:hAnsi="Times New Roman" w:cs="Times New Roman"/>
        </w:rPr>
        <w:t>3</w:t>
      </w:r>
      <w:r w:rsidRPr="00027191">
        <w:rPr>
          <w:rFonts w:ascii="Times New Roman" w:hAnsi="Times New Roman" w:cs="Times New Roman"/>
        </w:rPr>
        <w:t xml:space="preserve"> an</w:t>
      </w:r>
      <w:r>
        <w:rPr>
          <w:rFonts w:ascii="Times New Roman" w:hAnsi="Times New Roman" w:cs="Times New Roman"/>
        </w:rPr>
        <w:t>s.</w:t>
      </w:r>
      <w:bookmarkEnd w:id="0"/>
    </w:p>
    <w:sectPr w:rsidR="00734693" w:rsidSect="00D969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2019" w14:textId="77777777" w:rsidR="00AD765B" w:rsidRDefault="00AD765B" w:rsidP="00875D79">
      <w:pPr>
        <w:spacing w:after="0" w:line="240" w:lineRule="auto"/>
      </w:pPr>
      <w:r>
        <w:separator/>
      </w:r>
    </w:p>
  </w:endnote>
  <w:endnote w:type="continuationSeparator" w:id="0">
    <w:p w14:paraId="35924D8B" w14:textId="77777777" w:rsidR="00AD765B" w:rsidRDefault="00AD765B" w:rsidP="0087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36EF" w14:textId="77777777" w:rsidR="00AD765B" w:rsidRDefault="00AD765B" w:rsidP="00875D79">
      <w:pPr>
        <w:spacing w:after="0" w:line="240" w:lineRule="auto"/>
      </w:pPr>
      <w:r>
        <w:separator/>
      </w:r>
    </w:p>
  </w:footnote>
  <w:footnote w:type="continuationSeparator" w:id="0">
    <w:p w14:paraId="71F5D90B" w14:textId="77777777" w:rsidR="00AD765B" w:rsidRDefault="00AD765B" w:rsidP="0087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5370" w14:textId="77777777" w:rsidR="00875D79" w:rsidRPr="0093125D" w:rsidRDefault="00875D79" w:rsidP="00875D79">
    <w:pPr>
      <w:jc w:val="center"/>
      <w:rPr>
        <w:rFonts w:ascii="Times New Roman" w:hAnsi="Times New Roman" w:cs="Times New Roman"/>
        <w:sz w:val="36"/>
        <w:szCs w:val="36"/>
      </w:rPr>
    </w:pPr>
    <w:r w:rsidRPr="0093125D">
      <w:rPr>
        <w:rFonts w:ascii="Times New Roman" w:hAnsi="Times New Roman" w:cs="Times New Roman"/>
        <w:sz w:val="36"/>
        <w:szCs w:val="36"/>
      </w:rPr>
      <w:t>Domaine Gaël FELIX</w:t>
    </w:r>
  </w:p>
  <w:p w14:paraId="263A90EC" w14:textId="0D742209" w:rsidR="00875D79" w:rsidRPr="00875D79" w:rsidRDefault="00875D79" w:rsidP="00875D79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8"/>
        <w:szCs w:val="28"/>
      </w:rPr>
      <w:t>Fidélie</w:t>
    </w:r>
    <w:r w:rsidRPr="0093125D">
      <w:rPr>
        <w:rFonts w:ascii="Times New Roman" w:hAnsi="Times New Roman" w:cs="Times New Roman"/>
        <w:sz w:val="28"/>
        <w:szCs w:val="28"/>
      </w:rPr>
      <w:t xml:space="preserve"> – 202</w:t>
    </w:r>
    <w:r>
      <w:rPr>
        <w:rFonts w:ascii="Times New Roman" w:hAnsi="Times New Roman" w:cs="Times New Roman"/>
        <w:sz w:val="28"/>
        <w:szCs w:val="28"/>
      </w:rPr>
      <w:t>4</w:t>
    </w:r>
    <w:r w:rsidRPr="0093125D">
      <w:rPr>
        <w:rFonts w:ascii="Times New Roman" w:hAnsi="Times New Roman" w:cs="Times New Roman"/>
        <w:sz w:val="28"/>
        <w:szCs w:val="28"/>
      </w:rPr>
      <w:t xml:space="preserve"> - Vin de Pays des C</w:t>
    </w:r>
    <w:r>
      <w:rPr>
        <w:rFonts w:ascii="Times New Roman" w:hAnsi="Times New Roman" w:cs="Times New Roman"/>
        <w:sz w:val="28"/>
        <w:szCs w:val="28"/>
      </w:rPr>
      <w:t>o</w:t>
    </w:r>
    <w:r w:rsidRPr="0093125D">
      <w:rPr>
        <w:rFonts w:ascii="Times New Roman" w:hAnsi="Times New Roman" w:cs="Times New Roman"/>
        <w:sz w:val="28"/>
        <w:szCs w:val="28"/>
      </w:rPr>
      <w:t>teaux du Cher et de l’Arnon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79"/>
    <w:rsid w:val="000A1F6D"/>
    <w:rsid w:val="000F13BD"/>
    <w:rsid w:val="004807AF"/>
    <w:rsid w:val="004E2E8D"/>
    <w:rsid w:val="00734693"/>
    <w:rsid w:val="00875D79"/>
    <w:rsid w:val="008B3118"/>
    <w:rsid w:val="008E3A1F"/>
    <w:rsid w:val="00A85DD1"/>
    <w:rsid w:val="00AD765B"/>
    <w:rsid w:val="00B96F90"/>
    <w:rsid w:val="00D96940"/>
    <w:rsid w:val="00E0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605F"/>
  <w15:chartTrackingRefBased/>
  <w15:docId w15:val="{CF246D41-7674-4600-99FC-C074DB4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D79"/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875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5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5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5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5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5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5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5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5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5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5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5D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5D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5D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5D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5D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5D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5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5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5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5D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5D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5D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5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5D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5D7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7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D79"/>
  </w:style>
  <w:style w:type="paragraph" w:styleId="Pieddepage">
    <w:name w:val="footer"/>
    <w:basedOn w:val="Normal"/>
    <w:link w:val="PieddepageCar"/>
    <w:uiPriority w:val="99"/>
    <w:unhideWhenUsed/>
    <w:rsid w:val="0087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5D79"/>
  </w:style>
  <w:style w:type="table" w:styleId="Grilledutableau">
    <w:name w:val="Table Grid"/>
    <w:basedOn w:val="TableauNormal"/>
    <w:uiPriority w:val="39"/>
    <w:rsid w:val="00875D7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DELORD</dc:creator>
  <cp:keywords/>
  <dc:description/>
  <cp:lastModifiedBy>Julie DELORD</cp:lastModifiedBy>
  <cp:revision>4</cp:revision>
  <dcterms:created xsi:type="dcterms:W3CDTF">2025-08-17T13:00:00Z</dcterms:created>
  <dcterms:modified xsi:type="dcterms:W3CDTF">2025-08-17T13:40:00Z</dcterms:modified>
</cp:coreProperties>
</file>